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2814" w:rsidP="004528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FNSFMB511 Implement credit contracts in preparation for settlement</w:t>
      </w:r>
      <w:r>
        <w:fldChar w:fldCharType="end"/>
      </w:r>
    </w:p>
    <w:p w:rsidR="00452814" w:rsidP="00452814">
      <w:pPr>
        <w:pStyle w:val="Version"/>
        <w:sectPr w:rsidSect="00513A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3A78" w:rsidP="00513A78">
      <w:pPr>
        <w:pStyle w:val="SuperHeading"/>
      </w:pPr>
      <w:r w:rsidRPr="00513A78">
        <w:t>Assessment Requirements for FNSFMB511 Implement credit contracts in preparation for settlement</w:t>
      </w:r>
    </w:p>
    <w:p w:rsidR="00000000" w:rsidRPr="00513A78" w:rsidP="00513A78">
      <w:pPr>
        <w:pStyle w:val="Heading1"/>
      </w:pPr>
      <w:bookmarkStart w:id="1" w:name="O_1156752"/>
      <w:bookmarkEnd w:id="1"/>
      <w:r w:rsidRPr="00513A78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513A7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A78" w:rsidP="00513A78">
            <w:pPr>
              <w:pStyle w:val="BodyText"/>
            </w:pPr>
            <w:r w:rsidRPr="00513A78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A78">
            <w:pPr>
              <w:pStyle w:val="BodyText"/>
              <w:rPr>
                <w:lang w:val="en-NZ"/>
              </w:rPr>
            </w:pPr>
            <w:r w:rsidRPr="00513A78">
              <w:rPr>
                <w:rStyle w:val="SpecialBold"/>
              </w:rPr>
              <w:t>Comments</w:t>
            </w:r>
          </w:p>
        </w:tc>
      </w:tr>
      <w:tr w:rsidTr="00513A7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A78">
            <w:pPr>
              <w:pStyle w:val="BodyText"/>
              <w:rPr>
                <w:lang w:val="en-NZ"/>
              </w:rPr>
            </w:pPr>
            <w:r w:rsidRPr="00513A78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A78" w:rsidP="00513A78">
            <w:pPr>
              <w:pStyle w:val="BodyText"/>
            </w:pPr>
            <w:r w:rsidRPr="00513A78">
              <w:t>This version first released with FNS Financial Services Training Package Version 6.0.</w:t>
            </w:r>
          </w:p>
        </w:tc>
      </w:tr>
    </w:tbl>
    <w:p w:rsidR="00000000" w:rsidRPr="00513A78" w:rsidP="00513A78">
      <w:pPr>
        <w:pStyle w:val="BodyText"/>
      </w:pPr>
    </w:p>
    <w:p w:rsidR="00000000" w:rsidRPr="00513A78" w:rsidP="00513A78">
      <w:pPr>
        <w:pStyle w:val="AllowPageBreak"/>
      </w:pPr>
    </w:p>
    <w:p w:rsidR="00000000" w:rsidRPr="00513A78" w:rsidP="00513A78">
      <w:pPr>
        <w:pStyle w:val="Heading1"/>
      </w:pPr>
      <w:bookmarkStart w:id="2" w:name="O_1156755"/>
      <w:bookmarkEnd w:id="2"/>
      <w:r w:rsidRPr="00513A78">
        <w:t>Performance Evidence</w:t>
      </w:r>
    </w:p>
    <w:p w:rsidR="00000000" w:rsidRPr="00513A78" w:rsidP="00452814">
      <w:pPr>
        <w:pStyle w:val="BodyText"/>
      </w:pPr>
      <w:r w:rsidRPr="00513A78">
        <w:t>The candidate must demonstrate the ability to complete the tasks outlined in the elements, performance criteria and foundation skills of this unit, including evidence of the ability to:</w:t>
      </w:r>
    </w:p>
    <w:p w:rsidR="00000000" w:rsidRPr="00513A78" w:rsidP="00513A78">
      <w:pPr>
        <w:pStyle w:val="ListBullet"/>
      </w:pPr>
      <w:r w:rsidRPr="00513A78">
        <w:t>implement credit contracts and</w:t>
      </w:r>
      <w:r w:rsidRPr="00513A78">
        <w:t xml:space="preserve"> prepare for loan settlements for at least three different clients.</w:t>
      </w:r>
    </w:p>
    <w:p w:rsidR="00000000" w:rsidRPr="00513A78" w:rsidP="00513A78">
      <w:pPr>
        <w:pStyle w:val="List"/>
      </w:pPr>
    </w:p>
    <w:p w:rsidR="00000000" w:rsidRPr="00513A78" w:rsidP="00452814">
      <w:pPr>
        <w:pStyle w:val="BodyText"/>
      </w:pPr>
      <w:r w:rsidRPr="00513A78">
        <w:t>In the course of the above, the candidate must:</w:t>
      </w:r>
    </w:p>
    <w:p w:rsidR="00000000" w:rsidRPr="00513A78" w:rsidP="00513A78">
      <w:pPr>
        <w:pStyle w:val="ListBullet"/>
      </w:pPr>
      <w:r w:rsidRPr="00513A78">
        <w:t>confirm credit contracts have correct details before execution including, where applicable, property settlement date and security</w:t>
      </w:r>
    </w:p>
    <w:p w:rsidR="00000000" w:rsidRPr="00513A78" w:rsidP="00513A78">
      <w:pPr>
        <w:pStyle w:val="ListBullet"/>
      </w:pPr>
      <w:r w:rsidRPr="00513A78">
        <w:t>adhere to legislative and regulatory requirements</w:t>
      </w:r>
    </w:p>
    <w:p w:rsidR="00000000" w:rsidRPr="00513A78" w:rsidP="00513A78">
      <w:pPr>
        <w:pStyle w:val="ListBullet"/>
      </w:pPr>
      <w:r w:rsidRPr="00513A78">
        <w:t>confirm credit contracts are complete, signed, witnessed and dated.</w:t>
      </w:r>
    </w:p>
    <w:p w:rsidR="00000000" w:rsidRPr="00513A78" w:rsidP="00513A78">
      <w:pPr>
        <w:pStyle w:val="AllowPageBreak"/>
      </w:pPr>
    </w:p>
    <w:p w:rsidR="00000000" w:rsidRPr="00513A78" w:rsidP="00513A78">
      <w:pPr>
        <w:pStyle w:val="Heading1"/>
      </w:pPr>
      <w:bookmarkStart w:id="3" w:name="O_1156754"/>
      <w:bookmarkEnd w:id="3"/>
      <w:r w:rsidRPr="00513A78">
        <w:t>Knowledge Evidence</w:t>
      </w:r>
    </w:p>
    <w:p w:rsidR="00000000" w:rsidRPr="00513A78" w:rsidP="00452814">
      <w:pPr>
        <w:pStyle w:val="BodyText"/>
      </w:pPr>
      <w:r w:rsidRPr="00513A78">
        <w:t xml:space="preserve">The candidate must be able to demonstrate knowledge to complete the tasks outlined in the elements, </w:t>
      </w:r>
      <w:r w:rsidRPr="00513A78">
        <w:t>performance criteria and foundation skills of this unit, including knowledge of:</w:t>
      </w:r>
    </w:p>
    <w:p w:rsidR="00000000" w:rsidRPr="00513A78" w:rsidP="00513A78">
      <w:pPr>
        <w:pStyle w:val="ListBullet"/>
      </w:pPr>
      <w:r w:rsidRPr="00513A78">
        <w:t>pre-settlement conditions required by lenders including gaining consent of prior mortgagee if second mortgage security is being taken</w:t>
      </w:r>
    </w:p>
    <w:p w:rsidR="00000000" w:rsidRPr="00513A78" w:rsidP="00513A78">
      <w:pPr>
        <w:pStyle w:val="ListBullet"/>
      </w:pPr>
      <w:r w:rsidRPr="00513A78">
        <w:t>documentation required by lenders, inclu</w:t>
      </w:r>
      <w:r w:rsidRPr="00513A78">
        <w:t xml:space="preserve">ding: </w:t>
      </w:r>
    </w:p>
    <w:p w:rsidR="00000000" w:rsidRPr="00513A78" w:rsidP="00513A78">
      <w:pPr>
        <w:pStyle w:val="ListBullet2"/>
      </w:pPr>
      <w:r w:rsidRPr="00513A78">
        <w:t>credit check authority signed</w:t>
      </w:r>
    </w:p>
    <w:p w:rsidR="00000000" w:rsidRPr="00513A78" w:rsidP="00513A78">
      <w:pPr>
        <w:pStyle w:val="ListBullet2"/>
      </w:pPr>
      <w:r w:rsidRPr="00513A78">
        <w:t>guarantees</w:t>
      </w:r>
    </w:p>
    <w:p w:rsidR="00000000" w:rsidRPr="00513A78" w:rsidP="00513A78">
      <w:pPr>
        <w:pStyle w:val="ListBullet2"/>
      </w:pPr>
      <w:r w:rsidRPr="00513A78">
        <w:t>loan contract</w:t>
      </w:r>
    </w:p>
    <w:p w:rsidR="00000000" w:rsidRPr="00513A78" w:rsidP="00513A78">
      <w:pPr>
        <w:pStyle w:val="ListBullet2"/>
      </w:pPr>
      <w:r w:rsidRPr="00513A78">
        <w:t>periodical payment authority</w:t>
      </w:r>
    </w:p>
    <w:p w:rsidR="00000000" w:rsidRPr="00513A78" w:rsidP="00513A78">
      <w:pPr>
        <w:pStyle w:val="ListBullet2"/>
      </w:pPr>
      <w:r w:rsidRPr="00513A78">
        <w:t>signed application form</w:t>
      </w:r>
    </w:p>
    <w:p w:rsidR="00000000" w:rsidRPr="00513A78" w:rsidP="00513A78">
      <w:pPr>
        <w:pStyle w:val="ListBullet"/>
      </w:pPr>
      <w:r w:rsidRPr="00513A78">
        <w:t>pre-settlement evidence required by lenders</w:t>
      </w:r>
    </w:p>
    <w:p w:rsidR="00000000" w:rsidRPr="00513A78" w:rsidP="00513A78">
      <w:pPr>
        <w:pStyle w:val="ListBullet"/>
      </w:pPr>
      <w:r w:rsidRPr="00513A78">
        <w:t xml:space="preserve">pre-settlement undertakings by the borrower required by lenders, including: </w:t>
      </w:r>
    </w:p>
    <w:p w:rsidR="00000000" w:rsidRPr="00513A78" w:rsidP="00513A78">
      <w:pPr>
        <w:pStyle w:val="ListBullet2"/>
      </w:pPr>
      <w:r w:rsidRPr="00513A78">
        <w:t>sale and settlement of other property</w:t>
      </w:r>
    </w:p>
    <w:p w:rsidR="00000000" w:rsidRPr="00513A78" w:rsidP="00513A78">
      <w:pPr>
        <w:pStyle w:val="ListBullet2"/>
      </w:pPr>
      <w:r w:rsidRPr="00513A78">
        <w:t>repayment of other debts</w:t>
      </w:r>
    </w:p>
    <w:p w:rsidR="00000000" w:rsidRPr="00513A78" w:rsidP="00513A78">
      <w:pPr>
        <w:pStyle w:val="ListBullet2"/>
      </w:pPr>
      <w:r w:rsidRPr="00513A78">
        <w:t>provision of evidence of insurance</w:t>
      </w:r>
    </w:p>
    <w:p w:rsidR="00000000" w:rsidRPr="00513A78" w:rsidP="00513A78">
      <w:pPr>
        <w:pStyle w:val="ListBullet"/>
      </w:pPr>
      <w:r w:rsidRPr="00513A78">
        <w:t>key features of industry codes of practice, legislative, regulatory and statutory requirements, including:</w:t>
      </w:r>
    </w:p>
    <w:p w:rsidR="00000000" w:rsidRPr="00513A78" w:rsidP="00513A78">
      <w:pPr>
        <w:pStyle w:val="ListBullet2"/>
      </w:pPr>
      <w:r w:rsidRPr="00513A78">
        <w:t>National Credit Code</w:t>
      </w:r>
    </w:p>
    <w:p w:rsidR="00000000" w:rsidRPr="00513A78" w:rsidP="00513A78">
      <w:pPr>
        <w:pStyle w:val="ListBullet2"/>
      </w:pPr>
      <w:r w:rsidRPr="00513A78">
        <w:t>privacy legislation</w:t>
      </w:r>
    </w:p>
    <w:p w:rsidR="00000000" w:rsidRPr="00513A78" w:rsidP="00513A78">
      <w:pPr>
        <w:pStyle w:val="ListBullet2"/>
      </w:pPr>
      <w:r w:rsidRPr="00513A78">
        <w:t>credit l</w:t>
      </w:r>
      <w:r w:rsidRPr="00513A78">
        <w:t>egislation</w:t>
      </w:r>
    </w:p>
    <w:p w:rsidR="00000000" w:rsidRPr="00513A78" w:rsidP="00513A78">
      <w:pPr>
        <w:pStyle w:val="ListBullet2"/>
      </w:pPr>
      <w:r w:rsidRPr="00513A78">
        <w:t>best interest duty</w:t>
      </w:r>
    </w:p>
    <w:p w:rsidR="00000000" w:rsidRPr="00513A78" w:rsidP="00513A78">
      <w:pPr>
        <w:pStyle w:val="ListBullet"/>
      </w:pPr>
      <w:r w:rsidRPr="00513A78">
        <w:t>organisational policies and procedures relating to implementing and executing credit contracts and settling applications and loan arrangements</w:t>
      </w:r>
    </w:p>
    <w:p w:rsidR="00000000" w:rsidRPr="00513A78" w:rsidP="00513A78">
      <w:pPr>
        <w:pStyle w:val="ListBullet"/>
      </w:pPr>
      <w:r w:rsidRPr="00513A78">
        <w:t>role of various parties involved in the settlement process</w:t>
      </w:r>
    </w:p>
    <w:p w:rsidR="00000000" w:rsidRPr="00513A78" w:rsidP="00513A78">
      <w:pPr>
        <w:pStyle w:val="ListBullet"/>
      </w:pPr>
      <w:r w:rsidRPr="00513A78">
        <w:t xml:space="preserve">settlement issues that </w:t>
      </w:r>
      <w:r w:rsidRPr="00513A78">
        <w:t>can occur</w:t>
      </w:r>
    </w:p>
    <w:p w:rsidR="00000000" w:rsidRPr="00513A78" w:rsidP="00513A78">
      <w:pPr>
        <w:pStyle w:val="ListBullet"/>
      </w:pPr>
      <w:r w:rsidRPr="00513A78">
        <w:t>steps in process of registering security documentation</w:t>
      </w:r>
    </w:p>
    <w:p w:rsidR="00000000" w:rsidRPr="00513A78" w:rsidP="00513A78">
      <w:pPr>
        <w:pStyle w:val="ListBullet"/>
      </w:pPr>
      <w:r w:rsidRPr="00513A78">
        <w:t>steps required to open account for disbursement of funds.</w:t>
      </w:r>
    </w:p>
    <w:p w:rsidR="00000000" w:rsidRPr="00513A78" w:rsidP="00513A78">
      <w:pPr>
        <w:pStyle w:val="AllowPageBreak"/>
      </w:pPr>
    </w:p>
    <w:p w:rsidR="00000000" w:rsidRPr="00513A78" w:rsidP="00513A78">
      <w:pPr>
        <w:pStyle w:val="Heading1"/>
      </w:pPr>
      <w:bookmarkStart w:id="4" w:name="O_1156753"/>
      <w:bookmarkEnd w:id="4"/>
      <w:r w:rsidRPr="00513A78">
        <w:t>Assessment Conditions</w:t>
      </w:r>
    </w:p>
    <w:p w:rsidR="00000000" w:rsidRPr="00513A78" w:rsidP="00452814">
      <w:pPr>
        <w:pStyle w:val="BodyText"/>
      </w:pPr>
      <w:r w:rsidRPr="00513A78">
        <w:t xml:space="preserve">Skills in this unit must be demonstrated in a workplace or simulated environment where the conditions are typical of those in a working environment in this industry. </w:t>
      </w:r>
    </w:p>
    <w:p w:rsidR="00000000" w:rsidRPr="00513A78" w:rsidP="00452814">
      <w:pPr>
        <w:pStyle w:val="BodyText"/>
      </w:pPr>
      <w:r w:rsidRPr="00513A78">
        <w:t>This includes access to:</w:t>
      </w:r>
    </w:p>
    <w:p w:rsidR="00000000" w:rsidRPr="00513A78" w:rsidP="00513A78">
      <w:pPr>
        <w:pStyle w:val="ListBullet"/>
      </w:pPr>
      <w:r w:rsidRPr="00513A78">
        <w:t>office equipment, technology, software and consumables</w:t>
      </w:r>
    </w:p>
    <w:p w:rsidR="00000000" w:rsidRPr="00513A78" w:rsidP="00513A78">
      <w:pPr>
        <w:pStyle w:val="ListBullet"/>
      </w:pPr>
      <w:r w:rsidRPr="00513A78">
        <w:t>credit p</w:t>
      </w:r>
      <w:r w:rsidRPr="00513A78">
        <w:t>roviders requirements for credit contract execution, loan settlement, security preparation and registration</w:t>
      </w:r>
    </w:p>
    <w:p w:rsidR="00000000" w:rsidRPr="00513A78" w:rsidP="00513A78">
      <w:pPr>
        <w:pStyle w:val="ListBullet"/>
      </w:pPr>
      <w:r w:rsidRPr="00513A78">
        <w:t>legislation and regulations related to loan applications, securities and settlement arrangements.</w:t>
      </w:r>
    </w:p>
    <w:p w:rsidR="00000000" w:rsidRPr="00513A78" w:rsidP="00513A78">
      <w:pPr>
        <w:pStyle w:val="List"/>
      </w:pPr>
    </w:p>
    <w:p w:rsidR="00000000" w:rsidRPr="00513A78" w:rsidP="00452814">
      <w:pPr>
        <w:pStyle w:val="BodyText"/>
      </w:pPr>
      <w:r w:rsidRPr="00513A78">
        <w:t>Assessors of this unit must satisfy the requireme</w:t>
      </w:r>
      <w:r w:rsidRPr="00513A78">
        <w:t xml:space="preserve">nts for assessors in applicable vocational education and training legislation, frameworks and/or standards. </w:t>
      </w:r>
    </w:p>
    <w:p w:rsidR="00000000" w:rsidRPr="00513A78" w:rsidP="00513A78">
      <w:pPr>
        <w:pStyle w:val="Heading1"/>
      </w:pPr>
      <w:bookmarkStart w:id="5" w:name="O_1156751"/>
      <w:bookmarkEnd w:id="5"/>
      <w:r w:rsidRPr="00513A78">
        <w:t>Links</w:t>
      </w:r>
    </w:p>
    <w:p w:rsidR="00000000" w:rsidRPr="00513A78" w:rsidP="00452814">
      <w:pPr>
        <w:pStyle w:val="BodyText"/>
      </w:pPr>
      <w:r w:rsidRPr="00513A7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E29D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13A78" w:rsidP="00513A78"/>
    <w:sectPr w:rsidSect="00513A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A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A78" w:rsidRPr="00452814" w:rsidP="004528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A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814" w:rsidP="00513A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2814" w:rsidP="00513A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52814" w:rsidP="00513A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A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8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3A78" w:rsidRPr="00452814" w:rsidP="004528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A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814" w:rsidRPr="002D2AF8" w:rsidP="00513A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FNSFMB511 Implement credit contracts in preparation for settlement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452814" w:rsidP="00513A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0279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CACA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42F7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A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3A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3A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3A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3A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3A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3A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3A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3A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3A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3A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3A78"/>
  </w:style>
  <w:style w:type="character" w:customStyle="1" w:styleId="Heading1Char">
    <w:name w:val="Heading 1 Char"/>
    <w:basedOn w:val="DefaultParagraphFont"/>
    <w:link w:val="Heading1"/>
    <w:rsid w:val="00513A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3A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3A7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13A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3A7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3A78"/>
    <w:rPr>
      <w:b/>
      <w:spacing w:val="0"/>
    </w:rPr>
  </w:style>
  <w:style w:type="paragraph" w:styleId="ListBullet2">
    <w:name w:val="List Bullet 2"/>
    <w:basedOn w:val="List2"/>
    <w:rsid w:val="00513A7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3A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3A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3A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3A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3A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3A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3A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3A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3A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3A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3A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3A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3A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3A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3A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3A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3A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3A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3A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3A7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13A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3A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3A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3A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3A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3A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3A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3A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3A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3A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3A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3A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3A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3A78"/>
    <w:rPr>
      <w:i/>
    </w:rPr>
  </w:style>
  <w:style w:type="paragraph" w:styleId="Caption">
    <w:name w:val="caption"/>
    <w:basedOn w:val="BodyText"/>
    <w:next w:val="Normal"/>
    <w:qFormat/>
    <w:rsid w:val="00513A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3A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3A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3A78"/>
  </w:style>
  <w:style w:type="paragraph" w:styleId="TableofFigures">
    <w:name w:val="table of figures"/>
    <w:basedOn w:val="Normal"/>
    <w:next w:val="Normal"/>
    <w:semiHidden/>
    <w:rsid w:val="00513A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3A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3A78"/>
    <w:rPr>
      <w:rFonts w:ascii="Wingdings" w:hAnsi="Wingdings"/>
    </w:rPr>
  </w:style>
  <w:style w:type="paragraph" w:customStyle="1" w:styleId="TableHeading">
    <w:name w:val="Table Heading"/>
    <w:basedOn w:val="HeadingBase"/>
    <w:rsid w:val="00513A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3A78"/>
    <w:rPr>
      <w:color w:val="0033CC"/>
      <w:u w:val="none"/>
    </w:rPr>
  </w:style>
  <w:style w:type="paragraph" w:customStyle="1" w:styleId="BodyTextRight">
    <w:name w:val="Body Text Right"/>
    <w:basedOn w:val="BodyText"/>
    <w:rsid w:val="00513A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3A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3A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3A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3A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3A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3A78"/>
    <w:rPr>
      <w:sz w:val="32"/>
    </w:rPr>
  </w:style>
  <w:style w:type="paragraph" w:customStyle="1" w:styleId="HeadingProcedure">
    <w:name w:val="Heading Procedure"/>
    <w:basedOn w:val="HeadingBase"/>
    <w:next w:val="Normal"/>
    <w:rsid w:val="00513A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3A78"/>
    <w:pPr>
      <w:spacing w:before="60" w:after="60"/>
    </w:pPr>
  </w:style>
  <w:style w:type="paragraph" w:styleId="ListContinue">
    <w:name w:val="List Continue"/>
    <w:basedOn w:val="List"/>
    <w:rsid w:val="00513A78"/>
    <w:pPr>
      <w:ind w:firstLine="0"/>
    </w:pPr>
  </w:style>
  <w:style w:type="paragraph" w:customStyle="1" w:styleId="ListNote">
    <w:name w:val="List Note"/>
    <w:basedOn w:val="List"/>
    <w:rsid w:val="00513A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3A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3A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3A78"/>
    <w:rPr>
      <w:rFonts w:ascii="Courier New" w:hAnsi="Courier New"/>
    </w:rPr>
  </w:style>
  <w:style w:type="paragraph" w:customStyle="1" w:styleId="NoteBullet">
    <w:name w:val="Note Bullet"/>
    <w:basedOn w:val="Note"/>
    <w:rsid w:val="00513A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3A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3A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3A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3A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3A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3A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3A78"/>
    <w:rPr>
      <w:b/>
      <w:smallCaps/>
    </w:rPr>
  </w:style>
  <w:style w:type="paragraph" w:customStyle="1" w:styleId="TableListNumber">
    <w:name w:val="Table List Number"/>
    <w:basedOn w:val="ListNumber"/>
    <w:rsid w:val="00513A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3A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3A78"/>
    <w:pPr>
      <w:numPr>
        <w:numId w:val="9"/>
      </w:numPr>
    </w:pPr>
  </w:style>
  <w:style w:type="paragraph" w:customStyle="1" w:styleId="ListAlpha2">
    <w:name w:val="List Alpha 2"/>
    <w:basedOn w:val="List2"/>
    <w:rsid w:val="00513A78"/>
    <w:pPr>
      <w:numPr>
        <w:numId w:val="8"/>
      </w:numPr>
    </w:pPr>
  </w:style>
  <w:style w:type="paragraph" w:styleId="List2">
    <w:name w:val="List 2"/>
    <w:basedOn w:val="BodyText"/>
    <w:rsid w:val="00513A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3A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3A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3A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3A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3A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3A78"/>
    <w:pPr>
      <w:numPr>
        <w:numId w:val="4"/>
      </w:numPr>
    </w:pPr>
  </w:style>
  <w:style w:type="paragraph" w:styleId="ListContinue2">
    <w:name w:val="List Continue 2"/>
    <w:basedOn w:val="List2"/>
    <w:rsid w:val="00513A78"/>
    <w:pPr>
      <w:ind w:firstLine="0"/>
    </w:pPr>
  </w:style>
  <w:style w:type="paragraph" w:styleId="ListContinue3">
    <w:name w:val="List Continue 3"/>
    <w:basedOn w:val="List3"/>
    <w:rsid w:val="00513A78"/>
    <w:pPr>
      <w:ind w:left="1021" w:firstLine="0"/>
    </w:pPr>
  </w:style>
  <w:style w:type="paragraph" w:styleId="ListContinue4">
    <w:name w:val="List Continue 4"/>
    <w:basedOn w:val="List4"/>
    <w:rsid w:val="00513A78"/>
    <w:pPr>
      <w:ind w:firstLine="0"/>
    </w:pPr>
  </w:style>
  <w:style w:type="paragraph" w:styleId="ListContinue5">
    <w:name w:val="List Continue 5"/>
    <w:basedOn w:val="List5"/>
    <w:rsid w:val="00513A78"/>
    <w:pPr>
      <w:ind w:firstLine="0"/>
    </w:pPr>
  </w:style>
  <w:style w:type="paragraph" w:styleId="ListNumber3">
    <w:name w:val="List Number 3"/>
    <w:basedOn w:val="List3"/>
    <w:rsid w:val="00513A78"/>
    <w:pPr>
      <w:numPr>
        <w:numId w:val="5"/>
      </w:numPr>
    </w:pPr>
  </w:style>
  <w:style w:type="paragraph" w:styleId="ListNumber4">
    <w:name w:val="List Number 4"/>
    <w:basedOn w:val="List4"/>
    <w:rsid w:val="00513A78"/>
    <w:pPr>
      <w:numPr>
        <w:numId w:val="6"/>
      </w:numPr>
    </w:pPr>
  </w:style>
  <w:style w:type="paragraph" w:styleId="ListNumber5">
    <w:name w:val="List Number 5"/>
    <w:basedOn w:val="List5"/>
    <w:rsid w:val="00513A78"/>
    <w:pPr>
      <w:numPr>
        <w:numId w:val="7"/>
      </w:numPr>
    </w:pPr>
  </w:style>
  <w:style w:type="paragraph" w:styleId="BlockText">
    <w:name w:val="Block Text"/>
    <w:basedOn w:val="Normal"/>
    <w:rsid w:val="00513A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3A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3A78"/>
    <w:rPr>
      <w:sz w:val="16"/>
      <w:vertAlign w:val="superscript"/>
    </w:rPr>
  </w:style>
  <w:style w:type="character" w:customStyle="1" w:styleId="Symbols">
    <w:name w:val="Symbols"/>
    <w:basedOn w:val="DefaultParagraphFont"/>
    <w:rsid w:val="00513A78"/>
    <w:rPr>
      <w:rFonts w:ascii="Symbol" w:hAnsi="Symbol"/>
    </w:rPr>
  </w:style>
  <w:style w:type="character" w:customStyle="1" w:styleId="MenuOptions">
    <w:name w:val="Menu Options"/>
    <w:basedOn w:val="DefaultParagraphFont"/>
    <w:rsid w:val="00513A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3A78"/>
    <w:rPr>
      <w:b/>
    </w:rPr>
  </w:style>
  <w:style w:type="character" w:customStyle="1" w:styleId="Underlined">
    <w:name w:val="Underlined"/>
    <w:basedOn w:val="DefaultParagraphFont"/>
    <w:rsid w:val="00513A78"/>
    <w:rPr>
      <w:u w:val="single"/>
    </w:rPr>
  </w:style>
  <w:style w:type="paragraph" w:customStyle="1" w:styleId="TableBodyTextRight">
    <w:name w:val="Table Body Text Right"/>
    <w:basedOn w:val="TableBodyText"/>
    <w:rsid w:val="00513A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3A78"/>
    <w:rPr>
      <w:sz w:val="18"/>
    </w:rPr>
  </w:style>
  <w:style w:type="paragraph" w:customStyle="1" w:styleId="BodySmallRight">
    <w:name w:val="Body Small Right"/>
    <w:basedOn w:val="BodyTextRight"/>
    <w:rsid w:val="00513A78"/>
    <w:rPr>
      <w:sz w:val="18"/>
      <w:szCs w:val="18"/>
    </w:rPr>
  </w:style>
  <w:style w:type="paragraph" w:customStyle="1" w:styleId="MarginEdition">
    <w:name w:val="Margin Edition"/>
    <w:basedOn w:val="MarginNote"/>
    <w:rsid w:val="00513A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3A78"/>
    <w:rPr>
      <w:sz w:val="2"/>
      <w:szCs w:val="2"/>
    </w:rPr>
  </w:style>
  <w:style w:type="character" w:customStyle="1" w:styleId="Small">
    <w:name w:val="Small"/>
    <w:basedOn w:val="DefaultParagraphFont"/>
    <w:rsid w:val="00513A78"/>
    <w:rPr>
      <w:sz w:val="16"/>
    </w:rPr>
  </w:style>
  <w:style w:type="paragraph" w:customStyle="1" w:styleId="WideTable">
    <w:name w:val="Wide Table"/>
    <w:basedOn w:val="Normal"/>
    <w:rsid w:val="00513A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3A78"/>
  </w:style>
  <w:style w:type="paragraph" w:styleId="Quote">
    <w:name w:val="Quote"/>
    <w:basedOn w:val="Heading1"/>
    <w:link w:val="QuoteChar"/>
    <w:qFormat/>
    <w:rsid w:val="00513A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3A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3A78"/>
    <w:pPr>
      <w:pageBreakBefore/>
    </w:pPr>
  </w:style>
  <w:style w:type="paragraph" w:customStyle="1" w:styleId="Border">
    <w:name w:val="Border"/>
    <w:basedOn w:val="Normal"/>
    <w:qFormat/>
    <w:rsid w:val="00513A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3A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3A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3A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3A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3A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3A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3A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3A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3A78"/>
    <w:rPr>
      <w:u w:val="single"/>
    </w:rPr>
  </w:style>
  <w:style w:type="character" w:customStyle="1" w:styleId="BoldandItalics">
    <w:name w:val="Bold and Italics"/>
    <w:qFormat/>
    <w:rsid w:val="00513A78"/>
    <w:rPr>
      <w:b/>
      <w:i/>
      <w:u w:val="none"/>
    </w:rPr>
  </w:style>
  <w:style w:type="paragraph" w:styleId="BalloonText">
    <w:name w:val="Balloon Text"/>
    <w:basedOn w:val="Normal"/>
    <w:link w:val="BalloonTextChar"/>
    <w:rsid w:val="00513A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3A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3A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3A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3A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3A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3A78"/>
    <w:pPr>
      <w:spacing w:before="0" w:after="0"/>
    </w:pPr>
  </w:style>
  <w:style w:type="paragraph" w:customStyle="1" w:styleId="BodyTextBold">
    <w:name w:val="Body Text Bold"/>
    <w:basedOn w:val="BodyText"/>
    <w:qFormat/>
    <w:rsid w:val="00513A78"/>
    <w:rPr>
      <w:b/>
    </w:rPr>
  </w:style>
  <w:style w:type="character" w:styleId="Hyperlink">
    <w:name w:val="Hyperlink"/>
    <w:basedOn w:val="DefaultParagraphFont"/>
    <w:uiPriority w:val="99"/>
    <w:unhideWhenUsed/>
    <w:rsid w:val="004528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404</Words>
  <Characters>2744</Characters>
  <Application>Microsoft Office Word</Application>
  <DocSecurity>0</DocSecurity>
  <Lines>76</Lines>
  <Paragraphs>57</Paragraphs>
  <ScaleCrop>false</ScaleCrop>
  <Company>Author-it Software Corporation Ltd.</Company>
  <LinksUpToDate>false</LinksUpToDate>
  <CharactersWithSpaces>3091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FNSFMB511 Implement credit contracts in preparation for settlement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2022-11-03T07:44:00Z</dcterms:created>
  <dcterms:modified xsi:type="dcterms:W3CDTF">2022-11-03T07:44:00Z</dcterms:modified>
</cp:coreProperties>
</file>