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F85" w:rsidP="00DF4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FNSFMB501 Settle applications and loan arrangements in the finance and mortgage broking industry</w:t>
      </w:r>
      <w:r>
        <w:fldChar w:fldCharType="end"/>
      </w:r>
    </w:p>
    <w:p w:rsidR="00DF4F85" w:rsidP="00DF4F85">
      <w:pPr>
        <w:pStyle w:val="Version"/>
        <w:sectPr w:rsidSect="004F7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18D" w:rsidP="004F718D">
      <w:pPr>
        <w:pStyle w:val="SuperHeading"/>
      </w:pPr>
      <w:r w:rsidRPr="004F718D">
        <w:t>Assessment Requirements for FNSFMB501 Settle applications and loan arrangements in the finance and mortgage broking industry</w:t>
      </w:r>
    </w:p>
    <w:p w:rsidR="00000000" w:rsidRPr="004F718D" w:rsidP="004F718D">
      <w:pPr>
        <w:pStyle w:val="Heading1"/>
      </w:pPr>
      <w:bookmarkStart w:id="1" w:name="O_675988"/>
      <w:bookmarkEnd w:id="1"/>
      <w:r w:rsidRPr="004F7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8D" w:rsidP="004F718D">
            <w:pPr>
              <w:pStyle w:val="BodyText"/>
            </w:pPr>
            <w:r w:rsidRPr="004F71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8D">
            <w:pPr>
              <w:pStyle w:val="BodyText"/>
              <w:rPr>
                <w:lang w:val="en-NZ"/>
              </w:rPr>
            </w:pPr>
            <w:r w:rsidRPr="004F718D">
              <w:rPr>
                <w:rStyle w:val="SpecialBold"/>
              </w:rPr>
              <w:t>Comments</w:t>
            </w:r>
          </w:p>
        </w:tc>
      </w:tr>
      <w:tr w:rsidTr="004F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8D">
            <w:pPr>
              <w:pStyle w:val="BodyText"/>
              <w:rPr>
                <w:lang w:val="en-NZ"/>
              </w:rPr>
            </w:pPr>
            <w:r w:rsidRPr="004F71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8D" w:rsidP="004F718D">
            <w:pPr>
              <w:pStyle w:val="BodyText"/>
            </w:pPr>
            <w:r w:rsidRPr="004F718D">
              <w:t>This version first released with FNS Financial Services Training Package Version 1.0.</w:t>
            </w:r>
          </w:p>
        </w:tc>
      </w:tr>
    </w:tbl>
    <w:p w:rsidR="00000000" w:rsidRPr="004F718D" w:rsidP="004F718D">
      <w:pPr>
        <w:pStyle w:val="BodyText"/>
      </w:pPr>
    </w:p>
    <w:p w:rsidR="00000000" w:rsidRPr="004F718D" w:rsidP="004F718D">
      <w:pPr>
        <w:pStyle w:val="AllowPageBreak"/>
      </w:pPr>
    </w:p>
    <w:p w:rsidR="00000000" w:rsidRPr="004F718D" w:rsidP="004F718D">
      <w:pPr>
        <w:pStyle w:val="Heading1"/>
      </w:pPr>
      <w:bookmarkStart w:id="2" w:name="O_675989"/>
      <w:bookmarkEnd w:id="2"/>
      <w:r w:rsidRPr="004F718D">
        <w:t>Performance Evidence</w:t>
      </w:r>
    </w:p>
    <w:p w:rsidR="00000000" w:rsidRPr="004F718D" w:rsidP="00DF4F85">
      <w:pPr>
        <w:pStyle w:val="BodyText"/>
      </w:pPr>
      <w:r w:rsidRPr="004F718D">
        <w:t>Evidence of the ability to:</w:t>
      </w:r>
    </w:p>
    <w:p w:rsidR="00000000" w:rsidRPr="004F718D" w:rsidP="004F718D">
      <w:pPr>
        <w:pStyle w:val="ListBullet"/>
      </w:pPr>
      <w:r w:rsidRPr="004F718D">
        <w:t xml:space="preserve">communicate effectively with the client and other parties so that they understand the pre-settlement </w:t>
      </w:r>
      <w:r w:rsidRPr="004F718D">
        <w:t>conditions and their involvement required</w:t>
      </w:r>
    </w:p>
    <w:p w:rsidR="00000000" w:rsidRPr="004F718D" w:rsidP="004F718D">
      <w:pPr>
        <w:pStyle w:val="ListBullet"/>
      </w:pPr>
      <w:r w:rsidRPr="004F718D">
        <w:t>accurately complete loan settlement tasks so that disbursement of funds are within agreed timelines, as required by the organisation and the client</w:t>
      </w:r>
    </w:p>
    <w:p w:rsidR="00000000" w:rsidRPr="004F718D" w:rsidP="004F718D">
      <w:pPr>
        <w:pStyle w:val="ListBullet"/>
      </w:pPr>
      <w:r w:rsidRPr="004F718D">
        <w:t>interpret and comply with relevant legislation, statutory requirem</w:t>
      </w:r>
      <w:r w:rsidRPr="004F718D">
        <w:t xml:space="preserve">ents and organisational procedures. </w:t>
      </w:r>
    </w:p>
    <w:p w:rsidR="00000000" w:rsidRPr="004F718D" w:rsidP="004F718D">
      <w:pPr>
        <w:pStyle w:val="BodyText"/>
      </w:pPr>
      <w:r w:rsidRPr="004F718D">
        <w:tab/>
      </w:r>
    </w:p>
    <w:p w:rsidR="00000000" w:rsidRPr="004F718D" w:rsidP="00DF4F85">
      <w:pPr>
        <w:pStyle w:val="BodyText"/>
      </w:pPr>
      <w:r w:rsidRPr="004F718D">
        <w:t>Note: If a specific volume or frequency is not stated, then evidence must be provided at least once.</w:t>
      </w:r>
    </w:p>
    <w:p w:rsidR="00000000" w:rsidRPr="004F718D" w:rsidP="004F718D">
      <w:pPr>
        <w:pStyle w:val="Heading1"/>
      </w:pPr>
      <w:bookmarkStart w:id="3" w:name="O_675990"/>
      <w:bookmarkEnd w:id="3"/>
      <w:r w:rsidRPr="004F718D">
        <w:t>Knowledge Evidence</w:t>
      </w:r>
    </w:p>
    <w:p w:rsidR="00000000" w:rsidRPr="004F718D" w:rsidP="00DF4F85">
      <w:pPr>
        <w:pStyle w:val="BodyText"/>
      </w:pPr>
      <w:r w:rsidRPr="004F718D">
        <w:t>To complete the unit requirements safely and effectively, the individual must:</w:t>
      </w:r>
    </w:p>
    <w:p w:rsidR="00000000" w:rsidRPr="004F718D" w:rsidP="004F718D">
      <w:pPr>
        <w:pStyle w:val="ListBullet"/>
      </w:pPr>
      <w:r w:rsidRPr="004F718D">
        <w:t>explain different pre-settlement conditions required by lenders including gaining consent of prior mortgagee if second mortgage security is being taken</w:t>
      </w:r>
    </w:p>
    <w:p w:rsidR="00000000" w:rsidRPr="004F718D" w:rsidP="004F718D">
      <w:pPr>
        <w:pStyle w:val="ListBullet"/>
      </w:pPr>
      <w:r w:rsidRPr="004F718D">
        <w:t>describe different pre-settlement evidence required by lenders</w:t>
      </w:r>
    </w:p>
    <w:p w:rsidR="00000000" w:rsidRPr="004F718D" w:rsidP="004F718D">
      <w:pPr>
        <w:pStyle w:val="ListBullet"/>
      </w:pPr>
      <w:r w:rsidRPr="004F718D">
        <w:t>explain different pre-settlement undertak</w:t>
      </w:r>
      <w:r w:rsidRPr="004F718D">
        <w:t xml:space="preserve">ings by the borrower, required by lenders: </w:t>
      </w:r>
    </w:p>
    <w:p w:rsidR="00000000" w:rsidRPr="004F718D" w:rsidP="004F718D">
      <w:pPr>
        <w:pStyle w:val="ListBullet2"/>
      </w:pPr>
      <w:r w:rsidRPr="004F718D">
        <w:t>sale and settlement of other property</w:t>
      </w:r>
    </w:p>
    <w:p w:rsidR="00000000" w:rsidRPr="004F718D" w:rsidP="004F718D">
      <w:pPr>
        <w:pStyle w:val="ListBullet2"/>
      </w:pPr>
      <w:r w:rsidRPr="004F718D">
        <w:t>repayment of other debts</w:t>
      </w:r>
    </w:p>
    <w:p w:rsidR="00000000" w:rsidRPr="004F718D" w:rsidP="004F718D">
      <w:pPr>
        <w:pStyle w:val="ListBullet2"/>
      </w:pPr>
      <w:r w:rsidRPr="004F718D">
        <w:t>provision of evidence of insurance</w:t>
      </w:r>
    </w:p>
    <w:p w:rsidR="00000000" w:rsidRPr="004F718D" w:rsidP="004F718D">
      <w:pPr>
        <w:pStyle w:val="ListBullet"/>
      </w:pPr>
      <w:r w:rsidRPr="004F718D">
        <w:t xml:space="preserve">explain different documentation required by lender: </w:t>
      </w:r>
    </w:p>
    <w:p w:rsidR="00000000" w:rsidRPr="004F718D" w:rsidP="004F718D">
      <w:pPr>
        <w:pStyle w:val="ListBullet2"/>
      </w:pPr>
      <w:r w:rsidRPr="004F718D">
        <w:t>credit check authority signed</w:t>
      </w:r>
    </w:p>
    <w:p w:rsidR="00000000" w:rsidRPr="004F718D" w:rsidP="004F718D">
      <w:pPr>
        <w:pStyle w:val="ListBullet2"/>
      </w:pPr>
      <w:r w:rsidRPr="004F718D">
        <w:t>guarantees</w:t>
      </w:r>
    </w:p>
    <w:p w:rsidR="00000000" w:rsidRPr="004F718D" w:rsidP="004F718D">
      <w:pPr>
        <w:pStyle w:val="ListBullet2"/>
      </w:pPr>
      <w:r w:rsidRPr="004F718D">
        <w:t>loan contract</w:t>
      </w:r>
    </w:p>
    <w:p w:rsidR="00000000" w:rsidRPr="004F718D" w:rsidP="004F718D">
      <w:pPr>
        <w:pStyle w:val="ListBullet2"/>
      </w:pPr>
      <w:r w:rsidRPr="004F718D">
        <w:t>periodical payment authority</w:t>
      </w:r>
    </w:p>
    <w:p w:rsidR="00000000" w:rsidRPr="004F718D" w:rsidP="004F718D">
      <w:pPr>
        <w:pStyle w:val="ListBullet2"/>
      </w:pPr>
      <w:r w:rsidRPr="004F718D">
        <w:t>signed application form</w:t>
      </w:r>
    </w:p>
    <w:p w:rsidR="00000000" w:rsidRPr="004F718D" w:rsidP="004F718D">
      <w:pPr>
        <w:pStyle w:val="ListBullet"/>
      </w:pPr>
      <w:r w:rsidRPr="004F718D">
        <w:t>explain the role of various parties involved in the settlement process</w:t>
      </w:r>
    </w:p>
    <w:p w:rsidR="00000000" w:rsidRPr="004F718D" w:rsidP="004F718D">
      <w:pPr>
        <w:pStyle w:val="ListBullet"/>
      </w:pPr>
      <w:r w:rsidRPr="004F718D">
        <w:t>describe settlement issues that can occur</w:t>
      </w:r>
    </w:p>
    <w:p w:rsidR="00000000" w:rsidRPr="004F718D" w:rsidP="004F718D">
      <w:pPr>
        <w:pStyle w:val="ListBullet"/>
      </w:pPr>
      <w:r w:rsidRPr="004F718D">
        <w:t>describe key features of current industry codes of practice, legislation and statutory re</w:t>
      </w:r>
      <w:r w:rsidRPr="004F718D">
        <w:t>quirements including:</w:t>
      </w:r>
    </w:p>
    <w:p w:rsidR="00000000" w:rsidRPr="004F718D" w:rsidP="004F718D">
      <w:pPr>
        <w:pStyle w:val="ListBullet2"/>
      </w:pPr>
      <w:r w:rsidRPr="004F718D">
        <w:t>National Credit Code</w:t>
      </w:r>
    </w:p>
    <w:p w:rsidR="00000000" w:rsidRPr="004F718D" w:rsidP="004F718D">
      <w:pPr>
        <w:pStyle w:val="ListBullet2"/>
      </w:pPr>
      <w:r w:rsidRPr="004F718D">
        <w:t>privacy legislation</w:t>
      </w:r>
    </w:p>
    <w:p w:rsidR="00000000" w:rsidRPr="004F718D" w:rsidP="004F718D">
      <w:pPr>
        <w:pStyle w:val="ListBullet2"/>
      </w:pPr>
      <w:r w:rsidRPr="004F718D">
        <w:t>credit legislation</w:t>
      </w:r>
    </w:p>
    <w:p w:rsidR="00000000" w:rsidRPr="004F718D" w:rsidP="004F718D">
      <w:pPr>
        <w:pStyle w:val="ListBullet"/>
      </w:pPr>
      <w:r w:rsidRPr="004F718D">
        <w:t>outline the steps in the process of registering security documentation</w:t>
      </w:r>
    </w:p>
    <w:p w:rsidR="00000000" w:rsidRPr="004F718D" w:rsidP="004F718D">
      <w:pPr>
        <w:pStyle w:val="ListBullet"/>
      </w:pPr>
      <w:r w:rsidRPr="004F718D">
        <w:t>explain relevant policies and procedures in regard to opening an account for funds to be disbursed.</w:t>
      </w:r>
    </w:p>
    <w:p w:rsidR="00000000" w:rsidRPr="004F718D" w:rsidP="004F718D">
      <w:pPr>
        <w:pStyle w:val="AllowPageBreak"/>
      </w:pPr>
    </w:p>
    <w:p w:rsidR="00000000" w:rsidRPr="004F718D" w:rsidP="004F718D">
      <w:pPr>
        <w:pStyle w:val="Heading1"/>
      </w:pPr>
      <w:bookmarkStart w:id="4" w:name="O_675991"/>
      <w:bookmarkEnd w:id="4"/>
      <w:r w:rsidRPr="004F718D">
        <w:t>Assessment Conditions</w:t>
      </w:r>
    </w:p>
    <w:p w:rsidR="00000000" w:rsidRPr="004F718D" w:rsidP="00DF4F85">
      <w:pPr>
        <w:pStyle w:val="BodyText"/>
      </w:pPr>
      <w:r w:rsidRPr="004F718D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4F718D" w:rsidP="004F718D">
      <w:pPr>
        <w:pStyle w:val="ListBullet"/>
      </w:pPr>
      <w:r w:rsidRPr="004F718D">
        <w:t>office equipment, technology, software and consumables</w:t>
      </w:r>
    </w:p>
    <w:p w:rsidR="00000000" w:rsidRPr="004F718D" w:rsidP="004F718D">
      <w:pPr>
        <w:pStyle w:val="ListBullet"/>
      </w:pPr>
      <w:r w:rsidRPr="004F718D">
        <w:t xml:space="preserve">lending product information </w:t>
      </w:r>
    </w:p>
    <w:p w:rsidR="00000000" w:rsidRPr="004F718D" w:rsidP="004F718D">
      <w:pPr>
        <w:pStyle w:val="ListBullet"/>
      </w:pPr>
      <w:r w:rsidRPr="004F718D">
        <w:t>relevant specialist software system and data.</w:t>
      </w:r>
    </w:p>
    <w:p w:rsidR="00000000" w:rsidRPr="004F718D" w:rsidP="004F718D">
      <w:pPr>
        <w:pStyle w:val="BodyText"/>
      </w:pPr>
      <w:r w:rsidRPr="004F718D">
        <w:tab/>
      </w:r>
    </w:p>
    <w:p w:rsidR="00000000" w:rsidRPr="004F718D" w:rsidP="00DF4F85">
      <w:pPr>
        <w:pStyle w:val="BodyText"/>
      </w:pPr>
      <w:r w:rsidRPr="004F718D">
        <w:t xml:space="preserve">Assessors must satisfy NVR/AQTF assessor requirements. </w:t>
      </w:r>
    </w:p>
    <w:p w:rsidR="00000000" w:rsidRPr="004F718D" w:rsidP="004F718D">
      <w:pPr>
        <w:pStyle w:val="Heading1"/>
      </w:pPr>
      <w:bookmarkStart w:id="5" w:name="O_675994"/>
      <w:bookmarkEnd w:id="5"/>
      <w:r w:rsidRPr="004F718D">
        <w:t>Links</w:t>
      </w:r>
    </w:p>
    <w:p w:rsidR="00000000" w:rsidRPr="004F718D" w:rsidP="00DF4F85">
      <w:pPr>
        <w:pStyle w:val="BodyText"/>
      </w:pPr>
      <w:r w:rsidRPr="004F7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33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F718D" w:rsidP="004F718D"/>
    <w:sectPr w:rsidSect="004F7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8D" w:rsidRPr="00DF4F85" w:rsidP="00DF4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85" w:rsidP="004F7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F85" w:rsidP="004F7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4F85" w:rsidP="004F7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18D" w:rsidRPr="00DF4F85" w:rsidP="00DF4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85" w:rsidRPr="002D2AF8" w:rsidP="004F7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FNSFMB501 Settle applications and loan arrangements in the finance and mortgage broking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DF4F85" w:rsidP="004F7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01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AE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4A0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18D"/>
  </w:style>
  <w:style w:type="character" w:customStyle="1" w:styleId="Heading1Char">
    <w:name w:val="Heading 1 Char"/>
    <w:basedOn w:val="DefaultParagraphFont"/>
    <w:link w:val="Heading1"/>
    <w:rsid w:val="004F7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1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18D"/>
    <w:rPr>
      <w:b/>
      <w:spacing w:val="0"/>
    </w:rPr>
  </w:style>
  <w:style w:type="paragraph" w:styleId="ListBullet2">
    <w:name w:val="List Bullet 2"/>
    <w:basedOn w:val="List2"/>
    <w:rsid w:val="004F71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18D"/>
    <w:rPr>
      <w:i/>
    </w:rPr>
  </w:style>
  <w:style w:type="paragraph" w:styleId="Caption">
    <w:name w:val="caption"/>
    <w:basedOn w:val="BodyText"/>
    <w:next w:val="Normal"/>
    <w:qFormat/>
    <w:rsid w:val="004F7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18D"/>
  </w:style>
  <w:style w:type="paragraph" w:styleId="TableofFigures">
    <w:name w:val="table of figures"/>
    <w:basedOn w:val="Normal"/>
    <w:next w:val="Normal"/>
    <w:semiHidden/>
    <w:rsid w:val="004F7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1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18D"/>
    <w:rPr>
      <w:rFonts w:ascii="Wingdings" w:hAnsi="Wingdings"/>
    </w:rPr>
  </w:style>
  <w:style w:type="paragraph" w:customStyle="1" w:styleId="TableHeading">
    <w:name w:val="Table Heading"/>
    <w:basedOn w:val="HeadingBase"/>
    <w:rsid w:val="004F7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18D"/>
    <w:rPr>
      <w:color w:val="0033CC"/>
      <w:u w:val="none"/>
    </w:rPr>
  </w:style>
  <w:style w:type="paragraph" w:customStyle="1" w:styleId="BodyTextRight">
    <w:name w:val="Body Text Right"/>
    <w:basedOn w:val="BodyText"/>
    <w:rsid w:val="004F7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1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18D"/>
    <w:rPr>
      <w:sz w:val="32"/>
    </w:rPr>
  </w:style>
  <w:style w:type="paragraph" w:customStyle="1" w:styleId="HeadingProcedure">
    <w:name w:val="Heading Procedure"/>
    <w:basedOn w:val="HeadingBase"/>
    <w:next w:val="Normal"/>
    <w:rsid w:val="004F7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18D"/>
    <w:pPr>
      <w:spacing w:before="60" w:after="60"/>
    </w:pPr>
  </w:style>
  <w:style w:type="paragraph" w:styleId="ListContinue">
    <w:name w:val="List Continue"/>
    <w:basedOn w:val="List"/>
    <w:rsid w:val="004F718D"/>
    <w:pPr>
      <w:ind w:firstLine="0"/>
    </w:pPr>
  </w:style>
  <w:style w:type="paragraph" w:customStyle="1" w:styleId="ListNote">
    <w:name w:val="List Note"/>
    <w:basedOn w:val="List"/>
    <w:rsid w:val="004F7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18D"/>
    <w:rPr>
      <w:rFonts w:ascii="Courier New" w:hAnsi="Courier New"/>
    </w:rPr>
  </w:style>
  <w:style w:type="paragraph" w:customStyle="1" w:styleId="NoteBullet">
    <w:name w:val="Note Bullet"/>
    <w:basedOn w:val="Note"/>
    <w:rsid w:val="004F7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1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18D"/>
    <w:rPr>
      <w:b/>
      <w:smallCaps/>
    </w:rPr>
  </w:style>
  <w:style w:type="paragraph" w:customStyle="1" w:styleId="TableListNumber">
    <w:name w:val="Table List Number"/>
    <w:basedOn w:val="ListNumber"/>
    <w:rsid w:val="004F7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18D"/>
    <w:pPr>
      <w:numPr>
        <w:numId w:val="9"/>
      </w:numPr>
    </w:pPr>
  </w:style>
  <w:style w:type="paragraph" w:customStyle="1" w:styleId="ListAlpha2">
    <w:name w:val="List Alpha 2"/>
    <w:basedOn w:val="List2"/>
    <w:rsid w:val="004F718D"/>
    <w:pPr>
      <w:numPr>
        <w:numId w:val="8"/>
      </w:numPr>
    </w:pPr>
  </w:style>
  <w:style w:type="paragraph" w:styleId="List2">
    <w:name w:val="List 2"/>
    <w:basedOn w:val="BodyText"/>
    <w:rsid w:val="004F7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1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1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18D"/>
    <w:pPr>
      <w:numPr>
        <w:numId w:val="4"/>
      </w:numPr>
    </w:pPr>
  </w:style>
  <w:style w:type="paragraph" w:styleId="ListContinue2">
    <w:name w:val="List Continue 2"/>
    <w:basedOn w:val="List2"/>
    <w:rsid w:val="004F718D"/>
    <w:pPr>
      <w:ind w:firstLine="0"/>
    </w:pPr>
  </w:style>
  <w:style w:type="paragraph" w:styleId="ListContinue3">
    <w:name w:val="List Continue 3"/>
    <w:basedOn w:val="List3"/>
    <w:rsid w:val="004F718D"/>
    <w:pPr>
      <w:ind w:left="1021" w:firstLine="0"/>
    </w:pPr>
  </w:style>
  <w:style w:type="paragraph" w:styleId="ListContinue4">
    <w:name w:val="List Continue 4"/>
    <w:basedOn w:val="List4"/>
    <w:rsid w:val="004F718D"/>
    <w:pPr>
      <w:ind w:firstLine="0"/>
    </w:pPr>
  </w:style>
  <w:style w:type="paragraph" w:styleId="ListContinue5">
    <w:name w:val="List Continue 5"/>
    <w:basedOn w:val="List5"/>
    <w:rsid w:val="004F718D"/>
    <w:pPr>
      <w:ind w:firstLine="0"/>
    </w:pPr>
  </w:style>
  <w:style w:type="paragraph" w:styleId="ListNumber3">
    <w:name w:val="List Number 3"/>
    <w:basedOn w:val="List3"/>
    <w:rsid w:val="004F718D"/>
    <w:pPr>
      <w:numPr>
        <w:numId w:val="5"/>
      </w:numPr>
    </w:pPr>
  </w:style>
  <w:style w:type="paragraph" w:styleId="ListNumber4">
    <w:name w:val="List Number 4"/>
    <w:basedOn w:val="List4"/>
    <w:rsid w:val="004F718D"/>
    <w:pPr>
      <w:numPr>
        <w:numId w:val="6"/>
      </w:numPr>
    </w:pPr>
  </w:style>
  <w:style w:type="paragraph" w:styleId="ListNumber5">
    <w:name w:val="List Number 5"/>
    <w:basedOn w:val="List5"/>
    <w:rsid w:val="004F718D"/>
    <w:pPr>
      <w:numPr>
        <w:numId w:val="7"/>
      </w:numPr>
    </w:pPr>
  </w:style>
  <w:style w:type="paragraph" w:styleId="BlockText">
    <w:name w:val="Block Text"/>
    <w:basedOn w:val="Normal"/>
    <w:rsid w:val="004F7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18D"/>
    <w:rPr>
      <w:sz w:val="16"/>
      <w:vertAlign w:val="superscript"/>
    </w:rPr>
  </w:style>
  <w:style w:type="character" w:customStyle="1" w:styleId="Symbols">
    <w:name w:val="Symbols"/>
    <w:basedOn w:val="DefaultParagraphFont"/>
    <w:rsid w:val="004F718D"/>
    <w:rPr>
      <w:rFonts w:ascii="Symbol" w:hAnsi="Symbol"/>
    </w:rPr>
  </w:style>
  <w:style w:type="character" w:customStyle="1" w:styleId="MenuOptions">
    <w:name w:val="Menu Options"/>
    <w:basedOn w:val="DefaultParagraphFont"/>
    <w:rsid w:val="004F7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18D"/>
    <w:rPr>
      <w:b/>
    </w:rPr>
  </w:style>
  <w:style w:type="character" w:customStyle="1" w:styleId="Underlined">
    <w:name w:val="Underlined"/>
    <w:basedOn w:val="DefaultParagraphFont"/>
    <w:rsid w:val="004F718D"/>
    <w:rPr>
      <w:u w:val="single"/>
    </w:rPr>
  </w:style>
  <w:style w:type="paragraph" w:customStyle="1" w:styleId="TableBodyTextRight">
    <w:name w:val="Table Body Text Right"/>
    <w:basedOn w:val="TableBodyText"/>
    <w:rsid w:val="004F7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18D"/>
    <w:rPr>
      <w:sz w:val="18"/>
    </w:rPr>
  </w:style>
  <w:style w:type="paragraph" w:customStyle="1" w:styleId="BodySmallRight">
    <w:name w:val="Body Small Right"/>
    <w:basedOn w:val="BodyTextRight"/>
    <w:rsid w:val="004F718D"/>
    <w:rPr>
      <w:sz w:val="18"/>
      <w:szCs w:val="18"/>
    </w:rPr>
  </w:style>
  <w:style w:type="paragraph" w:customStyle="1" w:styleId="MarginEdition">
    <w:name w:val="Margin Edition"/>
    <w:basedOn w:val="MarginNote"/>
    <w:rsid w:val="004F7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18D"/>
    <w:rPr>
      <w:sz w:val="2"/>
      <w:szCs w:val="2"/>
    </w:rPr>
  </w:style>
  <w:style w:type="character" w:customStyle="1" w:styleId="Small">
    <w:name w:val="Small"/>
    <w:basedOn w:val="DefaultParagraphFont"/>
    <w:rsid w:val="004F718D"/>
    <w:rPr>
      <w:sz w:val="16"/>
    </w:rPr>
  </w:style>
  <w:style w:type="paragraph" w:customStyle="1" w:styleId="WideTable">
    <w:name w:val="Wide Table"/>
    <w:basedOn w:val="Normal"/>
    <w:rsid w:val="004F7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18D"/>
  </w:style>
  <w:style w:type="paragraph" w:styleId="Quote">
    <w:name w:val="Quote"/>
    <w:basedOn w:val="Heading1"/>
    <w:link w:val="QuoteChar"/>
    <w:qFormat/>
    <w:rsid w:val="004F7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18D"/>
    <w:pPr>
      <w:pageBreakBefore/>
    </w:pPr>
  </w:style>
  <w:style w:type="paragraph" w:customStyle="1" w:styleId="Border">
    <w:name w:val="Border"/>
    <w:basedOn w:val="Normal"/>
    <w:qFormat/>
    <w:rsid w:val="004F7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18D"/>
    <w:rPr>
      <w:u w:val="single"/>
    </w:rPr>
  </w:style>
  <w:style w:type="character" w:customStyle="1" w:styleId="BoldandItalics">
    <w:name w:val="Bold and Italics"/>
    <w:qFormat/>
    <w:rsid w:val="004F718D"/>
    <w:rPr>
      <w:b/>
      <w:i/>
      <w:u w:val="none"/>
    </w:rPr>
  </w:style>
  <w:style w:type="paragraph" w:styleId="BalloonText">
    <w:name w:val="Balloon Text"/>
    <w:basedOn w:val="Normal"/>
    <w:link w:val="BalloonTextChar"/>
    <w:rsid w:val="004F7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18D"/>
    <w:pPr>
      <w:spacing w:before="0" w:after="0"/>
    </w:pPr>
  </w:style>
  <w:style w:type="paragraph" w:customStyle="1" w:styleId="BodyTextBold">
    <w:name w:val="Body Text Bold"/>
    <w:basedOn w:val="BodyText"/>
    <w:qFormat/>
    <w:rsid w:val="004F718D"/>
    <w:rPr>
      <w:b/>
    </w:rPr>
  </w:style>
  <w:style w:type="character" w:styleId="Hyperlink">
    <w:name w:val="Hyperlink"/>
    <w:basedOn w:val="DefaultParagraphFont"/>
    <w:uiPriority w:val="99"/>
    <w:unhideWhenUsed/>
    <w:rsid w:val="00DF4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2447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FNSFMB501 Settle applications and loan arrangements in the finance and mortgage broking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2020-11-04T12:47:00Z</dcterms:created>
  <dcterms:modified xsi:type="dcterms:W3CDTF">2020-11-04T12:47:00Z</dcterms:modified>
</cp:coreProperties>
</file>