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028" w:rsidP="00FB0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FNSFMB412 Identify client needs and present broking options</w:t>
      </w:r>
      <w:r>
        <w:fldChar w:fldCharType="end"/>
      </w:r>
    </w:p>
    <w:p w:rsidR="00FB0028" w:rsidP="00FB0028">
      <w:pPr>
        <w:pStyle w:val="Version"/>
        <w:sectPr w:rsidSect="00B71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2ED" w:rsidP="00B712ED">
      <w:pPr>
        <w:pStyle w:val="SuperHeading"/>
      </w:pPr>
      <w:r w:rsidRPr="00B712ED">
        <w:t>Assessment Requirements for FNSFMB412 Identify client needs and present broking options</w:t>
      </w:r>
    </w:p>
    <w:p w:rsidR="00000000" w:rsidRPr="00B712ED" w:rsidP="00B712ED">
      <w:pPr>
        <w:pStyle w:val="Heading1"/>
      </w:pPr>
      <w:bookmarkStart w:id="1" w:name="O_1156736"/>
      <w:bookmarkEnd w:id="1"/>
      <w:r w:rsidRPr="00B712E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71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ED" w:rsidP="00B712ED">
            <w:pPr>
              <w:pStyle w:val="BodyText"/>
            </w:pPr>
            <w:r w:rsidRPr="00B712E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ED">
            <w:pPr>
              <w:pStyle w:val="BodyText"/>
              <w:rPr>
                <w:lang w:val="en-NZ"/>
              </w:rPr>
            </w:pPr>
            <w:r w:rsidRPr="00B712ED">
              <w:rPr>
                <w:rStyle w:val="SpecialBold"/>
              </w:rPr>
              <w:t>Comments</w:t>
            </w:r>
          </w:p>
        </w:tc>
      </w:tr>
      <w:tr w:rsidTr="00B71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ED">
            <w:pPr>
              <w:pStyle w:val="BodyText"/>
              <w:rPr>
                <w:lang w:val="en-NZ"/>
              </w:rPr>
            </w:pPr>
            <w:r w:rsidRPr="00B712E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ED" w:rsidP="00B712ED">
            <w:pPr>
              <w:pStyle w:val="BodyText"/>
            </w:pPr>
            <w:r w:rsidRPr="00B712ED">
              <w:t>This version first released with FNS Financial Services Training Package Version 6.0.</w:t>
            </w:r>
          </w:p>
        </w:tc>
      </w:tr>
    </w:tbl>
    <w:p w:rsidR="00000000" w:rsidRPr="00B712ED" w:rsidP="00B712ED">
      <w:pPr>
        <w:pStyle w:val="BodyText"/>
      </w:pPr>
    </w:p>
    <w:p w:rsidR="00000000" w:rsidRPr="00B712ED" w:rsidP="00B712ED">
      <w:pPr>
        <w:pStyle w:val="AllowPageBreak"/>
      </w:pPr>
    </w:p>
    <w:p w:rsidR="00000000" w:rsidRPr="00B712ED" w:rsidP="00B712ED">
      <w:pPr>
        <w:pStyle w:val="Heading1"/>
      </w:pPr>
      <w:bookmarkStart w:id="2" w:name="O_1156739"/>
      <w:bookmarkEnd w:id="2"/>
      <w:r w:rsidRPr="00B712ED">
        <w:t>Performance Evidence</w:t>
      </w:r>
    </w:p>
    <w:p w:rsidR="00000000" w:rsidRPr="00B712ED" w:rsidP="00FB0028">
      <w:pPr>
        <w:pStyle w:val="BodyText"/>
      </w:pPr>
      <w:r w:rsidRPr="00B712ED">
        <w:t>The candidate must demonstrate the ability to complete the tasks outlined in the elements, performance criteria and foundation skills of this unit, including evidence of the ability to:</w:t>
      </w:r>
    </w:p>
    <w:p w:rsidR="00000000" w:rsidRPr="00B712ED" w:rsidP="00B712ED">
      <w:pPr>
        <w:pStyle w:val="ListBullet"/>
      </w:pPr>
      <w:r w:rsidRPr="00B712ED">
        <w:t>identify the needs of at least three cl</w:t>
      </w:r>
      <w:r w:rsidRPr="00B712ED">
        <w:t>ients and present each client different broking options.</w:t>
      </w:r>
    </w:p>
    <w:p w:rsidR="00000000" w:rsidRPr="00B712ED" w:rsidP="00B712ED">
      <w:pPr>
        <w:pStyle w:val="List"/>
      </w:pPr>
    </w:p>
    <w:p w:rsidR="00000000" w:rsidRPr="00B712ED" w:rsidP="00FB0028">
      <w:pPr>
        <w:pStyle w:val="BodyText"/>
      </w:pPr>
      <w:r w:rsidRPr="00B712ED">
        <w:t>In the course of the above, the candidate must:</w:t>
      </w:r>
    </w:p>
    <w:p w:rsidR="00000000" w:rsidRPr="00B712ED" w:rsidP="00B712ED">
      <w:pPr>
        <w:pStyle w:val="ListBullet"/>
      </w:pPr>
      <w:r w:rsidRPr="00B712ED">
        <w:t>use different communication and interpersonal skills to establish rapport with the client</w:t>
      </w:r>
    </w:p>
    <w:p w:rsidR="00000000" w:rsidRPr="00B712ED" w:rsidP="00B712ED">
      <w:pPr>
        <w:pStyle w:val="ListBullet"/>
      </w:pPr>
      <w:r w:rsidRPr="00B712ED">
        <w:t>file client information securely and in the requ</w:t>
      </w:r>
      <w:r w:rsidRPr="00B712ED">
        <w:t>ired format and location</w:t>
      </w:r>
    </w:p>
    <w:p w:rsidR="00000000" w:rsidRPr="00B712ED" w:rsidP="00B712ED">
      <w:pPr>
        <w:pStyle w:val="ListBullet"/>
      </w:pPr>
      <w:r w:rsidRPr="00B712ED">
        <w:t>organise all information clearly and concisely</w:t>
      </w:r>
    </w:p>
    <w:p w:rsidR="00000000" w:rsidRPr="00B712ED" w:rsidP="00B712ED">
      <w:pPr>
        <w:pStyle w:val="ListBullet"/>
      </w:pPr>
      <w:r w:rsidRPr="00B712ED">
        <w:t>establish clients’ current investment, asset, income, expenditure and liability position</w:t>
      </w:r>
    </w:p>
    <w:p w:rsidR="00000000" w:rsidRPr="00B712ED" w:rsidP="00B712ED">
      <w:pPr>
        <w:pStyle w:val="ListBullet"/>
      </w:pPr>
      <w:r w:rsidRPr="00B712ED">
        <w:t>discuss and document implementation actions in anticipation of a loan application</w:t>
      </w:r>
    </w:p>
    <w:p w:rsidR="00000000" w:rsidRPr="00B712ED" w:rsidP="00B712ED">
      <w:pPr>
        <w:pStyle w:val="ListBullet"/>
      </w:pPr>
      <w:r w:rsidRPr="00B712ED">
        <w:t>comply with o</w:t>
      </w:r>
      <w:r w:rsidRPr="00B712ED">
        <w:t>rganisational policies and procedures and applicable legislation.</w:t>
      </w:r>
    </w:p>
    <w:p w:rsidR="00000000" w:rsidRPr="00B712ED" w:rsidP="00B712ED">
      <w:pPr>
        <w:pStyle w:val="AllowPageBreak"/>
      </w:pPr>
    </w:p>
    <w:p w:rsidR="00000000" w:rsidRPr="00B712ED" w:rsidP="00B712ED">
      <w:pPr>
        <w:pStyle w:val="Heading1"/>
      </w:pPr>
      <w:bookmarkStart w:id="3" w:name="O_1156738"/>
      <w:bookmarkEnd w:id="3"/>
      <w:r w:rsidRPr="00B712ED">
        <w:t>Knowledge Evidence</w:t>
      </w:r>
    </w:p>
    <w:p w:rsidR="00000000" w:rsidRPr="00B712ED" w:rsidP="00FB0028">
      <w:pPr>
        <w:pStyle w:val="BodyText"/>
      </w:pPr>
      <w:r w:rsidRPr="00B712ED">
        <w:t>The candidate must be able to demonstrate knowledge to complete the tasks outlined in the elements, performance criteria and foundation skills of this u</w:t>
      </w:r>
      <w:r w:rsidRPr="00B712ED">
        <w:t>nit, including knowledge of:</w:t>
      </w:r>
    </w:p>
    <w:p w:rsidR="00000000" w:rsidRPr="00B712ED" w:rsidP="00B712ED">
      <w:pPr>
        <w:pStyle w:val="ListBullet"/>
      </w:pPr>
      <w:r w:rsidRPr="00B712ED">
        <w:t xml:space="preserve">basic financial and accounting terms and concepts related to mortgage or finance broking, including: </w:t>
      </w:r>
    </w:p>
    <w:p w:rsidR="00000000" w:rsidRPr="00B712ED" w:rsidP="00B712ED">
      <w:pPr>
        <w:pStyle w:val="ListBullet2"/>
      </w:pPr>
      <w:r w:rsidRPr="00B712ED">
        <w:t>variable and fixed rate interest rates</w:t>
      </w:r>
    </w:p>
    <w:p w:rsidR="00000000" w:rsidRPr="00B712ED" w:rsidP="00B712ED">
      <w:pPr>
        <w:pStyle w:val="ListBullet2"/>
      </w:pPr>
      <w:r w:rsidRPr="00B712ED">
        <w:t>types of mortgage accounts</w:t>
      </w:r>
    </w:p>
    <w:p w:rsidR="00000000" w:rsidRPr="00B712ED" w:rsidP="00B712ED">
      <w:pPr>
        <w:pStyle w:val="ListBullet2"/>
      </w:pPr>
      <w:r w:rsidRPr="00B712ED">
        <w:t>procedures and principles of deposit bonds</w:t>
      </w:r>
    </w:p>
    <w:p w:rsidR="00000000" w:rsidRPr="00B712ED" w:rsidP="00B712ED">
      <w:pPr>
        <w:pStyle w:val="ListBullet2"/>
      </w:pPr>
      <w:r w:rsidRPr="00B712ED">
        <w:t>financia</w:t>
      </w:r>
      <w:r w:rsidRPr="00B712ED">
        <w:t>l records relating to different ownership models</w:t>
      </w:r>
    </w:p>
    <w:p w:rsidR="00000000" w:rsidRPr="00B712ED" w:rsidP="00B712ED">
      <w:pPr>
        <w:pStyle w:val="ListBullet"/>
      </w:pPr>
      <w:r w:rsidRPr="00B712ED">
        <w:t>best practice methods of identifying client financial needs</w:t>
      </w:r>
    </w:p>
    <w:p w:rsidR="00000000" w:rsidRPr="00B712ED" w:rsidP="00B712ED">
      <w:pPr>
        <w:pStyle w:val="ListBullet"/>
      </w:pPr>
      <w:r w:rsidRPr="00B712ED">
        <w:t>organisational policies and procedures, and codes of practice related to credit services</w:t>
      </w:r>
    </w:p>
    <w:p w:rsidR="00000000" w:rsidRPr="00B712ED" w:rsidP="00B712ED">
      <w:pPr>
        <w:pStyle w:val="ListBullet"/>
      </w:pPr>
      <w:r w:rsidRPr="00B712ED">
        <w:t>credit and credit reporting services</w:t>
      </w:r>
    </w:p>
    <w:p w:rsidR="00000000" w:rsidRPr="00B712ED" w:rsidP="00B712ED">
      <w:pPr>
        <w:pStyle w:val="ListBullet"/>
      </w:pPr>
      <w:r w:rsidRPr="00B712ED">
        <w:t>current government a</w:t>
      </w:r>
      <w:r w:rsidRPr="00B712ED">
        <w:t>ssistance for:</w:t>
      </w:r>
    </w:p>
    <w:p w:rsidR="00000000" w:rsidRPr="00B712ED" w:rsidP="00B712ED">
      <w:pPr>
        <w:pStyle w:val="ListBullet2"/>
      </w:pPr>
      <w:r w:rsidRPr="00B712ED">
        <w:t xml:space="preserve">first home buyers </w:t>
      </w:r>
    </w:p>
    <w:p w:rsidR="00000000" w:rsidRPr="00B712ED" w:rsidP="00B712ED">
      <w:pPr>
        <w:pStyle w:val="ListBullet2"/>
      </w:pPr>
      <w:r w:rsidRPr="00B712ED">
        <w:t>disadvantaged or low-income earners</w:t>
      </w:r>
    </w:p>
    <w:p w:rsidR="00000000" w:rsidRPr="00B712ED" w:rsidP="00B712ED">
      <w:pPr>
        <w:pStyle w:val="ListBullet"/>
      </w:pPr>
      <w:r w:rsidRPr="00B712ED">
        <w:t>complaint handling and resolution processes</w:t>
      </w:r>
    </w:p>
    <w:p w:rsidR="00000000" w:rsidRPr="00B712ED" w:rsidP="00B712ED">
      <w:pPr>
        <w:pStyle w:val="ListBullet"/>
      </w:pPr>
      <w:r w:rsidRPr="00B712ED">
        <w:t>roles of the alternative dispute resolution schemes and services</w:t>
      </w:r>
    </w:p>
    <w:p w:rsidR="00000000" w:rsidRPr="00B712ED" w:rsidP="00B712ED">
      <w:pPr>
        <w:pStyle w:val="ListBullet"/>
      </w:pPr>
      <w:r w:rsidRPr="00B712ED">
        <w:t xml:space="preserve">features of the economic environment and business cycle, financial markets </w:t>
      </w:r>
      <w:r w:rsidRPr="00B712ED">
        <w:t>and roles of industry participants, interest rates, exchange rates and inflation</w:t>
      </w:r>
    </w:p>
    <w:p w:rsidR="00000000" w:rsidRPr="00B712ED" w:rsidP="00B712ED">
      <w:pPr>
        <w:pStyle w:val="ListBullet"/>
      </w:pPr>
      <w:r w:rsidRPr="00B712ED">
        <w:t>features of the legal environment and legislative and regulatory requirements affecting finance and mortgage broking services related to:</w:t>
      </w:r>
    </w:p>
    <w:p w:rsidR="00000000" w:rsidRPr="00B712ED" w:rsidP="00B712ED">
      <w:pPr>
        <w:pStyle w:val="ListBullet2"/>
      </w:pPr>
      <w:r w:rsidRPr="00B712ED">
        <w:t>disclosure</w:t>
      </w:r>
    </w:p>
    <w:p w:rsidR="00000000" w:rsidRPr="00B712ED" w:rsidP="00B712ED">
      <w:pPr>
        <w:pStyle w:val="ListBullet2"/>
      </w:pPr>
      <w:r w:rsidRPr="00B712ED">
        <w:t>privacy</w:t>
      </w:r>
    </w:p>
    <w:p w:rsidR="00000000" w:rsidRPr="00B712ED" w:rsidP="00B712ED">
      <w:pPr>
        <w:pStyle w:val="ListBullet2"/>
      </w:pPr>
      <w:r w:rsidRPr="00B712ED">
        <w:t>industry codes of practice</w:t>
      </w:r>
    </w:p>
    <w:p w:rsidR="00000000" w:rsidRPr="00B712ED" w:rsidP="00B712ED">
      <w:pPr>
        <w:pStyle w:val="ListBullet2"/>
      </w:pPr>
      <w:r w:rsidRPr="00B712ED">
        <w:t>best interest duty</w:t>
      </w:r>
    </w:p>
    <w:p w:rsidR="00000000" w:rsidRPr="00B712ED" w:rsidP="00B712ED">
      <w:pPr>
        <w:pStyle w:val="ListBullet2"/>
      </w:pPr>
      <w:r w:rsidRPr="00B712ED">
        <w:t>fees and commissions and disclosures</w:t>
      </w:r>
    </w:p>
    <w:p w:rsidR="00000000" w:rsidRPr="00B712ED" w:rsidP="00B712ED">
      <w:pPr>
        <w:pStyle w:val="ListBullet2"/>
      </w:pPr>
      <w:r w:rsidRPr="00B712ED">
        <w:t>credit reporting services</w:t>
      </w:r>
    </w:p>
    <w:p w:rsidR="00000000" w:rsidRPr="00B712ED" w:rsidP="00B712ED">
      <w:pPr>
        <w:pStyle w:val="ListBullet2"/>
      </w:pPr>
      <w:r w:rsidRPr="00B712ED">
        <w:t xml:space="preserve">potentially vulnerable clients </w:t>
      </w:r>
    </w:p>
    <w:p w:rsidR="00000000" w:rsidRPr="00B712ED" w:rsidP="00B712ED">
      <w:pPr>
        <w:pStyle w:val="ListBullet"/>
      </w:pPr>
      <w:r w:rsidRPr="00B712ED">
        <w:t>key features of lender’s mortgage insurance</w:t>
      </w:r>
    </w:p>
    <w:p w:rsidR="00000000" w:rsidRPr="00B712ED" w:rsidP="00B712ED">
      <w:pPr>
        <w:pStyle w:val="ListBullet"/>
      </w:pPr>
      <w:r w:rsidRPr="00B712ED">
        <w:t>loan transaction terminology and definitions of parties involved, incl</w:t>
      </w:r>
      <w:r w:rsidRPr="00B712ED">
        <w:t>uding:</w:t>
      </w:r>
    </w:p>
    <w:p w:rsidR="00000000" w:rsidRPr="00B712ED" w:rsidP="00B712ED">
      <w:pPr>
        <w:pStyle w:val="ListBullet2"/>
      </w:pPr>
      <w:r w:rsidRPr="00B712ED">
        <w:t>lender and borrower</w:t>
      </w:r>
    </w:p>
    <w:p w:rsidR="00000000" w:rsidRPr="00B712ED" w:rsidP="00B712ED">
      <w:pPr>
        <w:pStyle w:val="ListBullet2"/>
      </w:pPr>
      <w:r w:rsidRPr="00B712ED">
        <w:t>lessor and lessee</w:t>
      </w:r>
    </w:p>
    <w:p w:rsidR="00000000" w:rsidRPr="00B712ED" w:rsidP="00B712ED">
      <w:pPr>
        <w:pStyle w:val="ListBullet2"/>
      </w:pPr>
      <w:r w:rsidRPr="00B712ED">
        <w:t>mortgagee and mortgagor</w:t>
      </w:r>
    </w:p>
    <w:p w:rsidR="00000000" w:rsidRPr="00B712ED" w:rsidP="00B712ED">
      <w:pPr>
        <w:pStyle w:val="ListBullet"/>
      </w:pPr>
      <w:r w:rsidRPr="00B712ED">
        <w:t>risks and security associated with sharing information with clients, including:</w:t>
      </w:r>
    </w:p>
    <w:p w:rsidR="00000000" w:rsidRPr="00B712ED" w:rsidP="00B712ED">
      <w:pPr>
        <w:pStyle w:val="ListBullet2"/>
      </w:pPr>
      <w:r w:rsidRPr="00B712ED">
        <w:t>confidential information</w:t>
      </w:r>
    </w:p>
    <w:p w:rsidR="00000000" w:rsidRPr="00B712ED" w:rsidP="00B712ED">
      <w:pPr>
        <w:pStyle w:val="ListBullet2"/>
      </w:pPr>
      <w:r w:rsidRPr="00B712ED">
        <w:t>identifying legitimacy</w:t>
      </w:r>
    </w:p>
    <w:p w:rsidR="00000000" w:rsidRPr="00B712ED" w:rsidP="00B712ED">
      <w:pPr>
        <w:pStyle w:val="ListBullet2"/>
      </w:pPr>
      <w:r w:rsidRPr="00B712ED">
        <w:t>borrowing</w:t>
      </w:r>
    </w:p>
    <w:p w:rsidR="00000000" w:rsidRPr="00B712ED" w:rsidP="00B712ED">
      <w:pPr>
        <w:pStyle w:val="ListBullet"/>
      </w:pPr>
      <w:r w:rsidRPr="00B712ED">
        <w:t>loan application process</w:t>
      </w:r>
    </w:p>
    <w:p w:rsidR="00000000" w:rsidRPr="00B712ED" w:rsidP="00B712ED">
      <w:pPr>
        <w:pStyle w:val="ListBullet"/>
      </w:pPr>
      <w:r w:rsidRPr="00B712ED">
        <w:t>negotiation process</w:t>
      </w:r>
    </w:p>
    <w:p w:rsidR="00000000" w:rsidRPr="00B712ED" w:rsidP="00B712ED">
      <w:pPr>
        <w:pStyle w:val="ListBullet"/>
      </w:pPr>
      <w:r w:rsidRPr="00B712ED">
        <w:t>presentation techniques, including technology supported presentations</w:t>
      </w:r>
    </w:p>
    <w:p w:rsidR="00000000" w:rsidRPr="00B712ED" w:rsidP="00B712ED">
      <w:pPr>
        <w:pStyle w:val="ListBullet"/>
      </w:pPr>
      <w:r w:rsidRPr="00B712ED">
        <w:t xml:space="preserve">lending products available in the finance and mortgage industry  </w:t>
      </w:r>
    </w:p>
    <w:p w:rsidR="00000000" w:rsidRPr="00B712ED" w:rsidP="00B712ED">
      <w:pPr>
        <w:pStyle w:val="ListBullet"/>
      </w:pPr>
      <w:r w:rsidRPr="00B712ED">
        <w:t>accounting and mathematical formulas to calculate:</w:t>
      </w:r>
    </w:p>
    <w:p w:rsidR="00000000" w:rsidRPr="00B712ED" w:rsidP="00B712ED">
      <w:pPr>
        <w:pStyle w:val="ListBullet2"/>
      </w:pPr>
      <w:r w:rsidRPr="00B712ED">
        <w:t>interest rates</w:t>
      </w:r>
    </w:p>
    <w:p w:rsidR="00000000" w:rsidRPr="00B712ED" w:rsidP="00B712ED">
      <w:pPr>
        <w:pStyle w:val="ListBullet2"/>
      </w:pPr>
      <w:r w:rsidRPr="00B712ED">
        <w:t>mortgage repayments</w:t>
      </w:r>
    </w:p>
    <w:p w:rsidR="00000000" w:rsidRPr="00B712ED" w:rsidP="00B712ED">
      <w:pPr>
        <w:pStyle w:val="ListBullet2"/>
      </w:pPr>
      <w:r w:rsidRPr="00B712ED">
        <w:t>term of a loan.</w:t>
      </w:r>
    </w:p>
    <w:p w:rsidR="00000000" w:rsidRPr="00B712ED" w:rsidP="00B712ED">
      <w:pPr>
        <w:pStyle w:val="AllowPageBreak"/>
      </w:pPr>
    </w:p>
    <w:p w:rsidR="00000000" w:rsidRPr="00B712ED" w:rsidP="00B712ED">
      <w:pPr>
        <w:pStyle w:val="Heading1"/>
      </w:pPr>
      <w:bookmarkStart w:id="4" w:name="O_1156737"/>
      <w:bookmarkEnd w:id="4"/>
      <w:r w:rsidRPr="00B712ED">
        <w:t>Assessment Conditions</w:t>
      </w:r>
    </w:p>
    <w:p w:rsidR="00000000" w:rsidRPr="00B712ED" w:rsidP="00FB0028">
      <w:pPr>
        <w:pStyle w:val="BodyText"/>
      </w:pPr>
      <w:r w:rsidRPr="00B712ED">
        <w:t xml:space="preserve">Skills in this unit must be demonstrated in a workplace or simulated environment where the conditions are typical of those in a working environment in this industry. </w:t>
      </w:r>
    </w:p>
    <w:p w:rsidR="00000000" w:rsidRPr="00B712ED" w:rsidP="00FB0028">
      <w:pPr>
        <w:pStyle w:val="BodyText"/>
      </w:pPr>
      <w:r w:rsidRPr="00B712ED">
        <w:t>This includes access to:</w:t>
      </w:r>
    </w:p>
    <w:p w:rsidR="00000000" w:rsidRPr="00B712ED" w:rsidP="00B712ED">
      <w:pPr>
        <w:pStyle w:val="ListBullet"/>
      </w:pPr>
      <w:r w:rsidRPr="00B712ED">
        <w:t xml:space="preserve">office equipment, technology, software </w:t>
      </w:r>
      <w:r w:rsidRPr="00B712ED">
        <w:t>and consumables</w:t>
      </w:r>
    </w:p>
    <w:p w:rsidR="00000000" w:rsidRPr="00B712ED" w:rsidP="00B712ED">
      <w:pPr>
        <w:pStyle w:val="ListBullet"/>
      </w:pPr>
      <w:r w:rsidRPr="00B712ED">
        <w:t xml:space="preserve">finance and mortgage product information </w:t>
      </w:r>
    </w:p>
    <w:p w:rsidR="00000000" w:rsidRPr="00B712ED" w:rsidP="00B712ED">
      <w:pPr>
        <w:pStyle w:val="ListBullet"/>
      </w:pPr>
      <w:r w:rsidRPr="00B712ED">
        <w:t xml:space="preserve">lending product information </w:t>
      </w:r>
    </w:p>
    <w:p w:rsidR="00000000" w:rsidRPr="00B712ED" w:rsidP="00B712ED">
      <w:pPr>
        <w:pStyle w:val="ListBullet"/>
      </w:pPr>
      <w:r w:rsidRPr="00B712ED">
        <w:t>required software system and data.</w:t>
      </w:r>
    </w:p>
    <w:p w:rsidR="00000000" w:rsidRPr="00B712ED" w:rsidP="00B712ED">
      <w:pPr>
        <w:pStyle w:val="List"/>
      </w:pPr>
    </w:p>
    <w:p w:rsidR="00000000" w:rsidRPr="00B712ED" w:rsidP="00FB0028">
      <w:pPr>
        <w:pStyle w:val="BodyText"/>
      </w:pPr>
      <w:r w:rsidRPr="00B712ED">
        <w:t xml:space="preserve">Assessors of this unit must satisfy the requirements for assessors in applicable vocational education and training legislation, frameworks and/or standards. </w:t>
      </w:r>
    </w:p>
    <w:p w:rsidR="00000000" w:rsidRPr="00B712ED" w:rsidP="00B712ED">
      <w:pPr>
        <w:pStyle w:val="Heading1"/>
      </w:pPr>
      <w:bookmarkStart w:id="5" w:name="O_1156735"/>
      <w:bookmarkEnd w:id="5"/>
      <w:r w:rsidRPr="00B712ED">
        <w:t>Links</w:t>
      </w:r>
    </w:p>
    <w:p w:rsidR="00000000" w:rsidRPr="00B712ED" w:rsidP="00FB0028">
      <w:pPr>
        <w:pStyle w:val="BodyText"/>
      </w:pPr>
      <w:r w:rsidRPr="00B71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52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12ED" w:rsidP="00B712ED"/>
    <w:sectPr w:rsidSect="00B71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ED" w:rsidRPr="00FB0028" w:rsidP="00FB0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28" w:rsidP="00B71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028" w:rsidP="00B71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028" w:rsidP="00B71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2ED" w:rsidRPr="00FB0028" w:rsidP="00FB0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28" w:rsidRPr="002D2AF8" w:rsidP="00B71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FNSFMB412 Identify client needs and present broking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B0028" w:rsidP="00B71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686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58E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2D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2ED"/>
  </w:style>
  <w:style w:type="character" w:customStyle="1" w:styleId="Heading1Char">
    <w:name w:val="Heading 1 Char"/>
    <w:basedOn w:val="DefaultParagraphFont"/>
    <w:link w:val="Heading1"/>
    <w:rsid w:val="00B71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2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1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2ED"/>
    <w:rPr>
      <w:b/>
      <w:spacing w:val="0"/>
    </w:rPr>
  </w:style>
  <w:style w:type="paragraph" w:styleId="ListBullet2">
    <w:name w:val="List Bullet 2"/>
    <w:basedOn w:val="List2"/>
    <w:rsid w:val="00B712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2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1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2ED"/>
    <w:rPr>
      <w:i/>
    </w:rPr>
  </w:style>
  <w:style w:type="paragraph" w:styleId="Caption">
    <w:name w:val="caption"/>
    <w:basedOn w:val="BodyText"/>
    <w:next w:val="Normal"/>
    <w:qFormat/>
    <w:rsid w:val="00B71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2ED"/>
  </w:style>
  <w:style w:type="paragraph" w:styleId="TableofFigures">
    <w:name w:val="table of figures"/>
    <w:basedOn w:val="Normal"/>
    <w:next w:val="Normal"/>
    <w:semiHidden/>
    <w:rsid w:val="00B71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2ED"/>
    <w:rPr>
      <w:rFonts w:ascii="Wingdings" w:hAnsi="Wingdings"/>
    </w:rPr>
  </w:style>
  <w:style w:type="paragraph" w:customStyle="1" w:styleId="TableHeading">
    <w:name w:val="Table Heading"/>
    <w:basedOn w:val="HeadingBase"/>
    <w:rsid w:val="00B71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2ED"/>
    <w:rPr>
      <w:color w:val="0033CC"/>
      <w:u w:val="none"/>
    </w:rPr>
  </w:style>
  <w:style w:type="paragraph" w:customStyle="1" w:styleId="BodyTextRight">
    <w:name w:val="Body Text Right"/>
    <w:basedOn w:val="BodyText"/>
    <w:rsid w:val="00B71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2ED"/>
    <w:rPr>
      <w:sz w:val="32"/>
    </w:rPr>
  </w:style>
  <w:style w:type="paragraph" w:customStyle="1" w:styleId="HeadingProcedure">
    <w:name w:val="Heading Procedure"/>
    <w:basedOn w:val="HeadingBase"/>
    <w:next w:val="Normal"/>
    <w:rsid w:val="00B71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2ED"/>
    <w:pPr>
      <w:spacing w:before="60" w:after="60"/>
    </w:pPr>
  </w:style>
  <w:style w:type="paragraph" w:styleId="ListContinue">
    <w:name w:val="List Continue"/>
    <w:basedOn w:val="List"/>
    <w:rsid w:val="00B712ED"/>
    <w:pPr>
      <w:ind w:firstLine="0"/>
    </w:pPr>
  </w:style>
  <w:style w:type="paragraph" w:customStyle="1" w:styleId="ListNote">
    <w:name w:val="List Note"/>
    <w:basedOn w:val="List"/>
    <w:rsid w:val="00B71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2ED"/>
    <w:rPr>
      <w:rFonts w:ascii="Courier New" w:hAnsi="Courier New"/>
    </w:rPr>
  </w:style>
  <w:style w:type="paragraph" w:customStyle="1" w:styleId="NoteBullet">
    <w:name w:val="Note Bullet"/>
    <w:basedOn w:val="Note"/>
    <w:rsid w:val="00B71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2ED"/>
    <w:rPr>
      <w:b/>
      <w:smallCaps/>
    </w:rPr>
  </w:style>
  <w:style w:type="paragraph" w:customStyle="1" w:styleId="TableListNumber">
    <w:name w:val="Table List Number"/>
    <w:basedOn w:val="ListNumber"/>
    <w:rsid w:val="00B71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2ED"/>
    <w:pPr>
      <w:numPr>
        <w:numId w:val="9"/>
      </w:numPr>
    </w:pPr>
  </w:style>
  <w:style w:type="paragraph" w:customStyle="1" w:styleId="ListAlpha2">
    <w:name w:val="List Alpha 2"/>
    <w:basedOn w:val="List2"/>
    <w:rsid w:val="00B712ED"/>
    <w:pPr>
      <w:numPr>
        <w:numId w:val="8"/>
      </w:numPr>
    </w:pPr>
  </w:style>
  <w:style w:type="paragraph" w:styleId="List2">
    <w:name w:val="List 2"/>
    <w:basedOn w:val="BodyText"/>
    <w:rsid w:val="00B71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2ED"/>
    <w:pPr>
      <w:numPr>
        <w:numId w:val="4"/>
      </w:numPr>
    </w:pPr>
  </w:style>
  <w:style w:type="paragraph" w:styleId="ListContinue2">
    <w:name w:val="List Continue 2"/>
    <w:basedOn w:val="List2"/>
    <w:rsid w:val="00B712ED"/>
    <w:pPr>
      <w:ind w:firstLine="0"/>
    </w:pPr>
  </w:style>
  <w:style w:type="paragraph" w:styleId="ListContinue3">
    <w:name w:val="List Continue 3"/>
    <w:basedOn w:val="List3"/>
    <w:rsid w:val="00B712ED"/>
    <w:pPr>
      <w:ind w:left="1021" w:firstLine="0"/>
    </w:pPr>
  </w:style>
  <w:style w:type="paragraph" w:styleId="ListContinue4">
    <w:name w:val="List Continue 4"/>
    <w:basedOn w:val="List4"/>
    <w:rsid w:val="00B712ED"/>
    <w:pPr>
      <w:ind w:firstLine="0"/>
    </w:pPr>
  </w:style>
  <w:style w:type="paragraph" w:styleId="ListContinue5">
    <w:name w:val="List Continue 5"/>
    <w:basedOn w:val="List5"/>
    <w:rsid w:val="00B712ED"/>
    <w:pPr>
      <w:ind w:firstLine="0"/>
    </w:pPr>
  </w:style>
  <w:style w:type="paragraph" w:styleId="ListNumber3">
    <w:name w:val="List Number 3"/>
    <w:basedOn w:val="List3"/>
    <w:rsid w:val="00B712ED"/>
    <w:pPr>
      <w:numPr>
        <w:numId w:val="5"/>
      </w:numPr>
    </w:pPr>
  </w:style>
  <w:style w:type="paragraph" w:styleId="ListNumber4">
    <w:name w:val="List Number 4"/>
    <w:basedOn w:val="List4"/>
    <w:rsid w:val="00B712ED"/>
    <w:pPr>
      <w:numPr>
        <w:numId w:val="6"/>
      </w:numPr>
    </w:pPr>
  </w:style>
  <w:style w:type="paragraph" w:styleId="ListNumber5">
    <w:name w:val="List Number 5"/>
    <w:basedOn w:val="List5"/>
    <w:rsid w:val="00B712ED"/>
    <w:pPr>
      <w:numPr>
        <w:numId w:val="7"/>
      </w:numPr>
    </w:pPr>
  </w:style>
  <w:style w:type="paragraph" w:styleId="BlockText">
    <w:name w:val="Block Text"/>
    <w:basedOn w:val="Normal"/>
    <w:rsid w:val="00B71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2ED"/>
    <w:rPr>
      <w:sz w:val="16"/>
      <w:vertAlign w:val="superscript"/>
    </w:rPr>
  </w:style>
  <w:style w:type="character" w:customStyle="1" w:styleId="Symbols">
    <w:name w:val="Symbols"/>
    <w:basedOn w:val="DefaultParagraphFont"/>
    <w:rsid w:val="00B712ED"/>
    <w:rPr>
      <w:rFonts w:ascii="Symbol" w:hAnsi="Symbol"/>
    </w:rPr>
  </w:style>
  <w:style w:type="character" w:customStyle="1" w:styleId="MenuOptions">
    <w:name w:val="Menu Options"/>
    <w:basedOn w:val="DefaultParagraphFont"/>
    <w:rsid w:val="00B71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2ED"/>
    <w:rPr>
      <w:b/>
    </w:rPr>
  </w:style>
  <w:style w:type="character" w:customStyle="1" w:styleId="Underlined">
    <w:name w:val="Underlined"/>
    <w:basedOn w:val="DefaultParagraphFont"/>
    <w:rsid w:val="00B712ED"/>
    <w:rPr>
      <w:u w:val="single"/>
    </w:rPr>
  </w:style>
  <w:style w:type="paragraph" w:customStyle="1" w:styleId="TableBodyTextRight">
    <w:name w:val="Table Body Text Right"/>
    <w:basedOn w:val="TableBodyText"/>
    <w:rsid w:val="00B71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2ED"/>
    <w:rPr>
      <w:sz w:val="18"/>
    </w:rPr>
  </w:style>
  <w:style w:type="paragraph" w:customStyle="1" w:styleId="BodySmallRight">
    <w:name w:val="Body Small Right"/>
    <w:basedOn w:val="BodyTextRight"/>
    <w:rsid w:val="00B712ED"/>
    <w:rPr>
      <w:sz w:val="18"/>
      <w:szCs w:val="18"/>
    </w:rPr>
  </w:style>
  <w:style w:type="paragraph" w:customStyle="1" w:styleId="MarginEdition">
    <w:name w:val="Margin Edition"/>
    <w:basedOn w:val="MarginNote"/>
    <w:rsid w:val="00B71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2ED"/>
    <w:rPr>
      <w:sz w:val="2"/>
      <w:szCs w:val="2"/>
    </w:rPr>
  </w:style>
  <w:style w:type="character" w:customStyle="1" w:styleId="Small">
    <w:name w:val="Small"/>
    <w:basedOn w:val="DefaultParagraphFont"/>
    <w:rsid w:val="00B712ED"/>
    <w:rPr>
      <w:sz w:val="16"/>
    </w:rPr>
  </w:style>
  <w:style w:type="paragraph" w:customStyle="1" w:styleId="WideTable">
    <w:name w:val="Wide Table"/>
    <w:basedOn w:val="Normal"/>
    <w:rsid w:val="00B71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2ED"/>
  </w:style>
  <w:style w:type="paragraph" w:styleId="Quote">
    <w:name w:val="Quote"/>
    <w:basedOn w:val="Heading1"/>
    <w:link w:val="QuoteChar"/>
    <w:qFormat/>
    <w:rsid w:val="00B71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2ED"/>
    <w:pPr>
      <w:pageBreakBefore/>
    </w:pPr>
  </w:style>
  <w:style w:type="paragraph" w:customStyle="1" w:styleId="Border">
    <w:name w:val="Border"/>
    <w:basedOn w:val="Normal"/>
    <w:qFormat/>
    <w:rsid w:val="00B71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2ED"/>
    <w:rPr>
      <w:u w:val="single"/>
    </w:rPr>
  </w:style>
  <w:style w:type="character" w:customStyle="1" w:styleId="BoldandItalics">
    <w:name w:val="Bold and Italics"/>
    <w:qFormat/>
    <w:rsid w:val="00B712ED"/>
    <w:rPr>
      <w:b/>
      <w:i/>
      <w:u w:val="none"/>
    </w:rPr>
  </w:style>
  <w:style w:type="paragraph" w:styleId="BalloonText">
    <w:name w:val="Balloon Text"/>
    <w:basedOn w:val="Normal"/>
    <w:link w:val="BalloonTextChar"/>
    <w:rsid w:val="00B71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2ED"/>
    <w:pPr>
      <w:spacing w:before="0" w:after="0"/>
    </w:pPr>
  </w:style>
  <w:style w:type="paragraph" w:customStyle="1" w:styleId="BodyTextBold">
    <w:name w:val="Body Text Bold"/>
    <w:basedOn w:val="BodyText"/>
    <w:qFormat/>
    <w:rsid w:val="00B712ED"/>
    <w:rPr>
      <w:b/>
    </w:rPr>
  </w:style>
  <w:style w:type="character" w:styleId="Hyperlink">
    <w:name w:val="Hyperlink"/>
    <w:basedOn w:val="DefaultParagraphFont"/>
    <w:uiPriority w:val="99"/>
    <w:unhideWhenUsed/>
    <w:rsid w:val="00FB0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3402</Characters>
  <Application>Microsoft Office Word</Application>
  <DocSecurity>0</DocSecurity>
  <Lines>94</Lines>
  <Paragraphs>81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FNSFMB412 Identify client needs and present broking options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