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164" w:rsidP="00132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FNSFMB402 Identify client needs for broking services</w:t>
      </w:r>
      <w:r>
        <w:fldChar w:fldCharType="end"/>
      </w:r>
    </w:p>
    <w:p w:rsidR="00132164" w:rsidP="00132164">
      <w:pPr>
        <w:pStyle w:val="Version"/>
        <w:sectPr w:rsidSect="002F7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AE2" w:rsidP="002F7AE2">
      <w:pPr>
        <w:pStyle w:val="SuperHeading"/>
      </w:pPr>
      <w:r w:rsidRPr="002F7AE2">
        <w:t>Assessment Requirements for FNSFMB402 Identify client needs for broking services</w:t>
      </w:r>
    </w:p>
    <w:p w:rsidR="00000000" w:rsidRPr="002F7AE2" w:rsidP="002F7AE2">
      <w:pPr>
        <w:pStyle w:val="Heading1"/>
      </w:pPr>
      <w:bookmarkStart w:id="1" w:name="O_675950"/>
      <w:bookmarkEnd w:id="1"/>
      <w:r w:rsidRPr="002F7A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7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AE2" w:rsidP="002F7AE2">
            <w:pPr>
              <w:pStyle w:val="BodyText"/>
            </w:pPr>
            <w:r w:rsidRPr="002F7A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AE2">
            <w:pPr>
              <w:pStyle w:val="BodyText"/>
              <w:rPr>
                <w:lang w:val="en-NZ"/>
              </w:rPr>
            </w:pPr>
            <w:r w:rsidRPr="002F7AE2">
              <w:rPr>
                <w:rStyle w:val="SpecialBold"/>
              </w:rPr>
              <w:t>Comments</w:t>
            </w:r>
          </w:p>
        </w:tc>
      </w:tr>
      <w:tr w:rsidTr="002F7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AE2">
            <w:pPr>
              <w:pStyle w:val="BodyText"/>
              <w:rPr>
                <w:lang w:val="en-NZ"/>
              </w:rPr>
            </w:pPr>
            <w:r w:rsidRPr="002F7A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AE2" w:rsidP="002F7AE2">
            <w:pPr>
              <w:pStyle w:val="BodyText"/>
            </w:pPr>
            <w:r w:rsidRPr="002F7AE2">
              <w:t>This version first released with FNS Financial Services Training Package Version 1.0.</w:t>
            </w:r>
          </w:p>
        </w:tc>
      </w:tr>
    </w:tbl>
    <w:p w:rsidR="00000000" w:rsidRPr="002F7AE2" w:rsidP="002F7AE2">
      <w:pPr>
        <w:pStyle w:val="BodyText"/>
      </w:pPr>
    </w:p>
    <w:p w:rsidR="00000000" w:rsidRPr="002F7AE2" w:rsidP="002F7AE2">
      <w:pPr>
        <w:pStyle w:val="AllowPageBreak"/>
      </w:pPr>
    </w:p>
    <w:p w:rsidR="00000000" w:rsidRPr="002F7AE2" w:rsidP="002F7AE2">
      <w:pPr>
        <w:pStyle w:val="Heading1"/>
      </w:pPr>
      <w:bookmarkStart w:id="2" w:name="O_675951"/>
      <w:bookmarkEnd w:id="2"/>
      <w:r w:rsidRPr="002F7AE2">
        <w:t>Performance Evidence</w:t>
      </w:r>
    </w:p>
    <w:p w:rsidR="00000000" w:rsidRPr="002F7AE2" w:rsidP="00132164">
      <w:pPr>
        <w:pStyle w:val="BodyText"/>
      </w:pPr>
      <w:r w:rsidRPr="002F7AE2">
        <w:t>Evidence of the ability to:</w:t>
      </w:r>
    </w:p>
    <w:p w:rsidR="00000000" w:rsidRPr="002F7AE2" w:rsidP="002F7AE2">
      <w:pPr>
        <w:pStyle w:val="ListBullet"/>
      </w:pPr>
      <w:r w:rsidRPr="002F7AE2">
        <w:t xml:space="preserve">use effective communication skills to build rapport with clients and clearly explain information relating to finance and broking processes and products </w:t>
      </w:r>
    </w:p>
    <w:p w:rsidR="00000000" w:rsidRPr="002F7AE2" w:rsidP="002F7AE2">
      <w:pPr>
        <w:pStyle w:val="ListBullet"/>
      </w:pPr>
      <w:r w:rsidRPr="002F7AE2">
        <w:t>document and analyse clients’ financial position acco</w:t>
      </w:r>
      <w:r w:rsidRPr="002F7AE2">
        <w:t xml:space="preserve">rding to organisational and industry requirements </w:t>
      </w:r>
    </w:p>
    <w:p w:rsidR="00000000" w:rsidRPr="002F7AE2" w:rsidP="002F7AE2">
      <w:pPr>
        <w:pStyle w:val="ListBullet"/>
      </w:pPr>
      <w:r w:rsidRPr="002F7AE2">
        <w:t>comply with company policy and relevant legislation in regards to disclosure so clients can make informed decisions.</w:t>
      </w:r>
    </w:p>
    <w:p w:rsidR="00000000" w:rsidRPr="002F7AE2" w:rsidP="002F7AE2">
      <w:pPr>
        <w:pStyle w:val="BodyText"/>
      </w:pPr>
    </w:p>
    <w:p w:rsidR="00000000" w:rsidRPr="002F7AE2" w:rsidP="00132164">
      <w:pPr>
        <w:pStyle w:val="BodyText"/>
      </w:pPr>
      <w:r w:rsidRPr="002F7AE2">
        <w:t>Note: If a specific volume or frequency is not stated, then evidence must be provided at least once.</w:t>
      </w:r>
    </w:p>
    <w:p w:rsidR="00000000" w:rsidRPr="002F7AE2" w:rsidP="002F7AE2">
      <w:pPr>
        <w:pStyle w:val="Heading1"/>
      </w:pPr>
      <w:bookmarkStart w:id="3" w:name="O_675952"/>
      <w:bookmarkEnd w:id="3"/>
      <w:r w:rsidRPr="002F7AE2">
        <w:t>Knowledge Evidence</w:t>
      </w:r>
    </w:p>
    <w:p w:rsidR="00000000" w:rsidRPr="002F7AE2" w:rsidP="00132164">
      <w:pPr>
        <w:pStyle w:val="BodyText"/>
      </w:pPr>
      <w:r w:rsidRPr="002F7AE2">
        <w:t>To complete the unit requirements safely and effectively, the individual must:</w:t>
      </w:r>
    </w:p>
    <w:p w:rsidR="00000000" w:rsidRPr="002F7AE2" w:rsidP="002F7AE2">
      <w:pPr>
        <w:pStyle w:val="ListBullet"/>
      </w:pPr>
      <w:r w:rsidRPr="002F7AE2">
        <w:t xml:space="preserve">explain basic financial and accounting </w:t>
      </w:r>
      <w:r w:rsidRPr="002F7AE2">
        <w:t xml:space="preserve">terms and concepts relating directly to mortgage or finance broking including: </w:t>
      </w:r>
    </w:p>
    <w:p w:rsidR="00000000" w:rsidRPr="002F7AE2" w:rsidP="002F7AE2">
      <w:pPr>
        <w:pStyle w:val="ListBullet2"/>
      </w:pPr>
      <w:r w:rsidRPr="002F7AE2">
        <w:t>variable and fixed rate interest rates</w:t>
      </w:r>
    </w:p>
    <w:p w:rsidR="00000000" w:rsidRPr="002F7AE2" w:rsidP="002F7AE2">
      <w:pPr>
        <w:pStyle w:val="ListBullet2"/>
      </w:pPr>
      <w:r w:rsidRPr="002F7AE2">
        <w:t>types of mortgage accounts</w:t>
      </w:r>
    </w:p>
    <w:p w:rsidR="00000000" w:rsidRPr="002F7AE2" w:rsidP="002F7AE2">
      <w:pPr>
        <w:pStyle w:val="ListBullet2"/>
      </w:pPr>
      <w:r w:rsidRPr="002F7AE2">
        <w:t>procedures and principles of deposit bonds</w:t>
      </w:r>
    </w:p>
    <w:p w:rsidR="00000000" w:rsidRPr="002F7AE2" w:rsidP="002F7AE2">
      <w:pPr>
        <w:pStyle w:val="ListBullet2"/>
      </w:pPr>
      <w:r w:rsidRPr="002F7AE2">
        <w:t>financial records relating to different ownership models</w:t>
      </w:r>
    </w:p>
    <w:p w:rsidR="00000000" w:rsidRPr="002F7AE2" w:rsidP="002F7AE2">
      <w:pPr>
        <w:pStyle w:val="ListBullet"/>
      </w:pPr>
      <w:r w:rsidRPr="002F7AE2">
        <w:t>describe</w:t>
      </w:r>
      <w:r w:rsidRPr="002F7AE2">
        <w:t xml:space="preserve"> key features of complaint handling and resolution processes, and roles of the various alternative disputes resolution schemes and services</w:t>
      </w:r>
    </w:p>
    <w:p w:rsidR="00000000" w:rsidRPr="002F7AE2" w:rsidP="002F7AE2">
      <w:pPr>
        <w:pStyle w:val="ListBullet"/>
      </w:pPr>
      <w:r w:rsidRPr="002F7AE2">
        <w:t>explain credit and credit reporting services</w:t>
      </w:r>
    </w:p>
    <w:p w:rsidR="00000000" w:rsidRPr="002F7AE2" w:rsidP="002F7AE2">
      <w:pPr>
        <w:pStyle w:val="ListBullet"/>
      </w:pPr>
      <w:r w:rsidRPr="002F7AE2">
        <w:t>describe key features of the economic environment and business cycle, f</w:t>
      </w:r>
      <w:r w:rsidRPr="002F7AE2">
        <w:t>inancial markets and the roles of industry participants, interest rates, exchange rates and inflation</w:t>
      </w:r>
    </w:p>
    <w:p w:rsidR="00000000" w:rsidRPr="002F7AE2" w:rsidP="002F7AE2">
      <w:pPr>
        <w:pStyle w:val="ListBullet"/>
      </w:pPr>
      <w:r w:rsidRPr="002F7AE2">
        <w:t>identify and describe key features of the legal environment and relevant legislation affecting finance and mortgage broking services in regards to:</w:t>
      </w:r>
    </w:p>
    <w:p w:rsidR="00000000" w:rsidRPr="002F7AE2" w:rsidP="002F7AE2">
      <w:pPr>
        <w:pStyle w:val="ListBullet2"/>
      </w:pPr>
      <w:r w:rsidRPr="002F7AE2">
        <w:t>discl</w:t>
      </w:r>
      <w:r w:rsidRPr="002F7AE2">
        <w:t>osure</w:t>
      </w:r>
    </w:p>
    <w:p w:rsidR="00000000" w:rsidRPr="002F7AE2" w:rsidP="002F7AE2">
      <w:pPr>
        <w:pStyle w:val="ListBullet2"/>
      </w:pPr>
      <w:r w:rsidRPr="002F7AE2">
        <w:t>privacy</w:t>
      </w:r>
    </w:p>
    <w:p w:rsidR="00000000" w:rsidRPr="002F7AE2" w:rsidP="002F7AE2">
      <w:pPr>
        <w:pStyle w:val="ListBullet2"/>
      </w:pPr>
      <w:r w:rsidRPr="002F7AE2">
        <w:t>industry codes of practice</w:t>
      </w:r>
    </w:p>
    <w:p w:rsidR="00000000" w:rsidRPr="002F7AE2" w:rsidP="002F7AE2">
      <w:pPr>
        <w:pStyle w:val="ListBullet2"/>
      </w:pPr>
      <w:r w:rsidRPr="002F7AE2">
        <w:t>National Credit Code</w:t>
      </w:r>
    </w:p>
    <w:p w:rsidR="00000000" w:rsidRPr="002F7AE2" w:rsidP="002F7AE2">
      <w:pPr>
        <w:pStyle w:val="ListBullet"/>
      </w:pPr>
      <w:r w:rsidRPr="002F7AE2">
        <w:t>describe the key features of lender’s mortgage insurance</w:t>
      </w:r>
    </w:p>
    <w:p w:rsidR="00000000" w:rsidRPr="002F7AE2" w:rsidP="002F7AE2">
      <w:pPr>
        <w:pStyle w:val="ListBullet"/>
      </w:pPr>
      <w:r w:rsidRPr="002F7AE2">
        <w:t>explain loan transaction terminology and definitions of the parties involved including:</w:t>
      </w:r>
    </w:p>
    <w:p w:rsidR="00000000" w:rsidRPr="002F7AE2" w:rsidP="002F7AE2">
      <w:pPr>
        <w:pStyle w:val="ListBullet2"/>
      </w:pPr>
      <w:r w:rsidRPr="002F7AE2">
        <w:t>lender and borrower</w:t>
      </w:r>
    </w:p>
    <w:p w:rsidR="00000000" w:rsidRPr="002F7AE2" w:rsidP="002F7AE2">
      <w:pPr>
        <w:pStyle w:val="ListBullet2"/>
      </w:pPr>
      <w:r w:rsidRPr="002F7AE2">
        <w:t>lessor and lessee</w:t>
      </w:r>
    </w:p>
    <w:p w:rsidR="00000000" w:rsidRPr="002F7AE2" w:rsidP="002F7AE2">
      <w:pPr>
        <w:pStyle w:val="ListBullet2"/>
      </w:pPr>
      <w:r w:rsidRPr="002F7AE2">
        <w:t>mortgagee and mortgagor</w:t>
      </w:r>
    </w:p>
    <w:p w:rsidR="00000000" w:rsidRPr="002F7AE2" w:rsidP="002F7AE2">
      <w:pPr>
        <w:pStyle w:val="ListBullet"/>
      </w:pPr>
      <w:r w:rsidRPr="002F7AE2">
        <w:t>explain real estate terms and concepts including:</w:t>
      </w:r>
    </w:p>
    <w:p w:rsidR="00000000" w:rsidRPr="002F7AE2" w:rsidP="002F7AE2">
      <w:pPr>
        <w:pStyle w:val="ListBullet2"/>
      </w:pPr>
      <w:r w:rsidRPr="002F7AE2">
        <w:t>land titles and searches</w:t>
      </w:r>
    </w:p>
    <w:p w:rsidR="00000000" w:rsidRPr="002F7AE2" w:rsidP="002F7AE2">
      <w:pPr>
        <w:pStyle w:val="ListBullet2"/>
      </w:pPr>
      <w:r w:rsidRPr="002F7AE2">
        <w:t>strata title versus company title</w:t>
      </w:r>
    </w:p>
    <w:p w:rsidR="00000000" w:rsidRPr="002F7AE2" w:rsidP="002F7AE2">
      <w:pPr>
        <w:pStyle w:val="ListBullet2"/>
      </w:pPr>
      <w:r w:rsidRPr="002F7AE2">
        <w:t>multiple securities</w:t>
      </w:r>
    </w:p>
    <w:p w:rsidR="00000000" w:rsidRPr="002F7AE2" w:rsidP="002F7AE2">
      <w:pPr>
        <w:pStyle w:val="ListBullet2"/>
      </w:pPr>
      <w:r w:rsidRPr="002F7AE2">
        <w:t>securing second mortgages</w:t>
      </w:r>
    </w:p>
    <w:p w:rsidR="00000000" w:rsidRPr="002F7AE2" w:rsidP="002F7AE2">
      <w:pPr>
        <w:pStyle w:val="ListBullet2"/>
      </w:pPr>
      <w:r w:rsidRPr="002F7AE2">
        <w:t xml:space="preserve">subdivisions of title </w:t>
      </w:r>
    </w:p>
    <w:p w:rsidR="00000000" w:rsidRPr="002F7AE2" w:rsidP="002F7AE2">
      <w:pPr>
        <w:pStyle w:val="ListBullet2"/>
      </w:pPr>
      <w:r w:rsidRPr="002F7AE2">
        <w:t>partial discharge of mortgage where multiple securit</w:t>
      </w:r>
      <w:r w:rsidRPr="002F7AE2">
        <w:t>ies are held by lender</w:t>
      </w:r>
    </w:p>
    <w:p w:rsidR="00000000" w:rsidRPr="002F7AE2" w:rsidP="002F7AE2">
      <w:pPr>
        <w:pStyle w:val="ListBullet"/>
      </w:pPr>
      <w:r w:rsidRPr="002F7AE2">
        <w:t>categorise and explain types of fees and charges.</w:t>
      </w:r>
    </w:p>
    <w:p w:rsidR="00000000" w:rsidRPr="002F7AE2" w:rsidP="002F7AE2">
      <w:pPr>
        <w:pStyle w:val="AllowPageBreak"/>
      </w:pPr>
    </w:p>
    <w:p w:rsidR="00000000" w:rsidRPr="002F7AE2" w:rsidP="002F7AE2">
      <w:pPr>
        <w:pStyle w:val="Heading1"/>
      </w:pPr>
      <w:bookmarkStart w:id="4" w:name="O_675953"/>
      <w:bookmarkEnd w:id="4"/>
      <w:r w:rsidRPr="002F7AE2">
        <w:t>Assessment Conditions</w:t>
      </w:r>
    </w:p>
    <w:p w:rsidR="00000000" w:rsidRPr="002F7AE2" w:rsidP="00132164">
      <w:pPr>
        <w:pStyle w:val="BodyText"/>
      </w:pPr>
      <w:r w:rsidRPr="002F7AE2">
        <w:t>Assessment must be conducted in a safe environment where evidence gathered demonstrates consistent performance of typical activities experienced in the finance and mortgage broking field of work and include access to:</w:t>
      </w:r>
    </w:p>
    <w:p w:rsidR="00000000" w:rsidRPr="002F7AE2" w:rsidP="002F7AE2">
      <w:pPr>
        <w:pStyle w:val="ListBullet"/>
      </w:pPr>
      <w:r w:rsidRPr="002F7AE2">
        <w:t>office equipment, technology, softwar</w:t>
      </w:r>
      <w:r w:rsidRPr="002F7AE2">
        <w:t>e and consumables</w:t>
      </w:r>
    </w:p>
    <w:p w:rsidR="00000000" w:rsidRPr="002F7AE2" w:rsidP="002F7AE2">
      <w:pPr>
        <w:pStyle w:val="ListBullet"/>
      </w:pPr>
      <w:r w:rsidRPr="002F7AE2">
        <w:t xml:space="preserve">finance and mortgage product information </w:t>
      </w:r>
    </w:p>
    <w:p w:rsidR="00000000" w:rsidRPr="002F7AE2" w:rsidP="002F7AE2">
      <w:pPr>
        <w:pStyle w:val="ListBullet"/>
      </w:pPr>
      <w:r w:rsidRPr="002F7AE2">
        <w:t>relevant software system and data.</w:t>
      </w:r>
    </w:p>
    <w:p w:rsidR="00000000" w:rsidRPr="002F7AE2" w:rsidP="002F7AE2">
      <w:pPr>
        <w:pStyle w:val="BodyText"/>
      </w:pPr>
    </w:p>
    <w:p w:rsidR="00000000" w:rsidRPr="002F7AE2" w:rsidP="00132164">
      <w:pPr>
        <w:pStyle w:val="BodyText"/>
      </w:pPr>
      <w:r w:rsidRPr="002F7AE2">
        <w:t xml:space="preserve">Assessors must satisfy NVR/AQTF assessor requirements. </w:t>
      </w:r>
    </w:p>
    <w:p w:rsidR="00000000" w:rsidRPr="002F7AE2" w:rsidP="002F7AE2">
      <w:pPr>
        <w:pStyle w:val="Heading1"/>
      </w:pPr>
      <w:bookmarkStart w:id="5" w:name="O_675956"/>
      <w:bookmarkEnd w:id="5"/>
      <w:r w:rsidRPr="002F7AE2">
        <w:t>Links</w:t>
      </w:r>
    </w:p>
    <w:p w:rsidR="00000000" w:rsidRPr="002F7AE2" w:rsidP="00132164">
      <w:pPr>
        <w:pStyle w:val="BodyText"/>
      </w:pPr>
      <w:r w:rsidRPr="002F7A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4791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F7AE2" w:rsidP="002F7AE2"/>
    <w:sectPr w:rsidSect="002F7A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E2" w:rsidRPr="00132164" w:rsidP="00132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164" w:rsidP="002F7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2164" w:rsidP="002F7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2164" w:rsidP="002F7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AE2" w:rsidRPr="00132164" w:rsidP="00132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164" w:rsidRPr="002D2AF8" w:rsidP="002F7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FNSFMB402 Identify client needs for broking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32164" w:rsidP="002F7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DE0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1AF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D2E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AE2"/>
  </w:style>
  <w:style w:type="character" w:customStyle="1" w:styleId="Heading1Char">
    <w:name w:val="Heading 1 Char"/>
    <w:basedOn w:val="DefaultParagraphFont"/>
    <w:link w:val="Heading1"/>
    <w:rsid w:val="002F7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A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A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AE2"/>
    <w:rPr>
      <w:b/>
      <w:spacing w:val="0"/>
    </w:rPr>
  </w:style>
  <w:style w:type="paragraph" w:styleId="ListBullet2">
    <w:name w:val="List Bullet 2"/>
    <w:basedOn w:val="List2"/>
    <w:rsid w:val="002F7A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A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A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AE2"/>
    <w:rPr>
      <w:i/>
    </w:rPr>
  </w:style>
  <w:style w:type="paragraph" w:styleId="Caption">
    <w:name w:val="caption"/>
    <w:basedOn w:val="BodyText"/>
    <w:next w:val="Normal"/>
    <w:qFormat/>
    <w:rsid w:val="002F7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AE2"/>
  </w:style>
  <w:style w:type="paragraph" w:styleId="TableofFigures">
    <w:name w:val="table of figures"/>
    <w:basedOn w:val="Normal"/>
    <w:next w:val="Normal"/>
    <w:semiHidden/>
    <w:rsid w:val="002F7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A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7AE2"/>
    <w:rPr>
      <w:rFonts w:ascii="Wingdings" w:hAnsi="Wingdings"/>
    </w:rPr>
  </w:style>
  <w:style w:type="paragraph" w:customStyle="1" w:styleId="TableHeading">
    <w:name w:val="Table Heading"/>
    <w:basedOn w:val="HeadingBase"/>
    <w:rsid w:val="002F7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AE2"/>
    <w:rPr>
      <w:color w:val="0033CC"/>
      <w:u w:val="none"/>
    </w:rPr>
  </w:style>
  <w:style w:type="paragraph" w:customStyle="1" w:styleId="BodyTextRight">
    <w:name w:val="Body Text Right"/>
    <w:basedOn w:val="BodyText"/>
    <w:rsid w:val="002F7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A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AE2"/>
    <w:rPr>
      <w:sz w:val="32"/>
    </w:rPr>
  </w:style>
  <w:style w:type="paragraph" w:customStyle="1" w:styleId="HeadingProcedure">
    <w:name w:val="Heading Procedure"/>
    <w:basedOn w:val="HeadingBase"/>
    <w:next w:val="Normal"/>
    <w:rsid w:val="002F7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AE2"/>
    <w:pPr>
      <w:spacing w:before="60" w:after="60"/>
    </w:pPr>
  </w:style>
  <w:style w:type="paragraph" w:styleId="ListContinue">
    <w:name w:val="List Continue"/>
    <w:basedOn w:val="List"/>
    <w:rsid w:val="002F7AE2"/>
    <w:pPr>
      <w:ind w:firstLine="0"/>
    </w:pPr>
  </w:style>
  <w:style w:type="paragraph" w:customStyle="1" w:styleId="ListNote">
    <w:name w:val="List Note"/>
    <w:basedOn w:val="List"/>
    <w:rsid w:val="002F7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AE2"/>
    <w:rPr>
      <w:rFonts w:ascii="Courier New" w:hAnsi="Courier New"/>
    </w:rPr>
  </w:style>
  <w:style w:type="paragraph" w:customStyle="1" w:styleId="NoteBullet">
    <w:name w:val="Note Bullet"/>
    <w:basedOn w:val="Note"/>
    <w:rsid w:val="002F7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A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AE2"/>
    <w:rPr>
      <w:b/>
      <w:smallCaps/>
    </w:rPr>
  </w:style>
  <w:style w:type="paragraph" w:customStyle="1" w:styleId="TableListNumber">
    <w:name w:val="Table List Number"/>
    <w:basedOn w:val="ListNumber"/>
    <w:rsid w:val="002F7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AE2"/>
    <w:pPr>
      <w:numPr>
        <w:numId w:val="9"/>
      </w:numPr>
    </w:pPr>
  </w:style>
  <w:style w:type="paragraph" w:customStyle="1" w:styleId="ListAlpha2">
    <w:name w:val="List Alpha 2"/>
    <w:basedOn w:val="List2"/>
    <w:rsid w:val="002F7AE2"/>
    <w:pPr>
      <w:numPr>
        <w:numId w:val="8"/>
      </w:numPr>
    </w:pPr>
  </w:style>
  <w:style w:type="paragraph" w:styleId="List2">
    <w:name w:val="List 2"/>
    <w:basedOn w:val="BodyText"/>
    <w:rsid w:val="002F7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A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A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7AE2"/>
    <w:pPr>
      <w:numPr>
        <w:numId w:val="4"/>
      </w:numPr>
    </w:pPr>
  </w:style>
  <w:style w:type="paragraph" w:styleId="ListContinue2">
    <w:name w:val="List Continue 2"/>
    <w:basedOn w:val="List2"/>
    <w:rsid w:val="002F7AE2"/>
    <w:pPr>
      <w:ind w:firstLine="0"/>
    </w:pPr>
  </w:style>
  <w:style w:type="paragraph" w:styleId="ListContinue3">
    <w:name w:val="List Continue 3"/>
    <w:basedOn w:val="List3"/>
    <w:rsid w:val="002F7AE2"/>
    <w:pPr>
      <w:ind w:left="1021" w:firstLine="0"/>
    </w:pPr>
  </w:style>
  <w:style w:type="paragraph" w:styleId="ListContinue4">
    <w:name w:val="List Continue 4"/>
    <w:basedOn w:val="List4"/>
    <w:rsid w:val="002F7AE2"/>
    <w:pPr>
      <w:ind w:firstLine="0"/>
    </w:pPr>
  </w:style>
  <w:style w:type="paragraph" w:styleId="ListContinue5">
    <w:name w:val="List Continue 5"/>
    <w:basedOn w:val="List5"/>
    <w:rsid w:val="002F7AE2"/>
    <w:pPr>
      <w:ind w:firstLine="0"/>
    </w:pPr>
  </w:style>
  <w:style w:type="paragraph" w:styleId="ListNumber3">
    <w:name w:val="List Number 3"/>
    <w:basedOn w:val="List3"/>
    <w:rsid w:val="002F7AE2"/>
    <w:pPr>
      <w:numPr>
        <w:numId w:val="5"/>
      </w:numPr>
    </w:pPr>
  </w:style>
  <w:style w:type="paragraph" w:styleId="ListNumber4">
    <w:name w:val="List Number 4"/>
    <w:basedOn w:val="List4"/>
    <w:rsid w:val="002F7AE2"/>
    <w:pPr>
      <w:numPr>
        <w:numId w:val="6"/>
      </w:numPr>
    </w:pPr>
  </w:style>
  <w:style w:type="paragraph" w:styleId="ListNumber5">
    <w:name w:val="List Number 5"/>
    <w:basedOn w:val="List5"/>
    <w:rsid w:val="002F7AE2"/>
    <w:pPr>
      <w:numPr>
        <w:numId w:val="7"/>
      </w:numPr>
    </w:pPr>
  </w:style>
  <w:style w:type="paragraph" w:styleId="BlockText">
    <w:name w:val="Block Text"/>
    <w:basedOn w:val="Normal"/>
    <w:rsid w:val="002F7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AE2"/>
    <w:rPr>
      <w:sz w:val="16"/>
      <w:vertAlign w:val="superscript"/>
    </w:rPr>
  </w:style>
  <w:style w:type="character" w:customStyle="1" w:styleId="Symbols">
    <w:name w:val="Symbols"/>
    <w:basedOn w:val="DefaultParagraphFont"/>
    <w:rsid w:val="002F7AE2"/>
    <w:rPr>
      <w:rFonts w:ascii="Symbol" w:hAnsi="Symbol"/>
    </w:rPr>
  </w:style>
  <w:style w:type="character" w:customStyle="1" w:styleId="MenuOptions">
    <w:name w:val="Menu Options"/>
    <w:basedOn w:val="DefaultParagraphFont"/>
    <w:rsid w:val="002F7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AE2"/>
    <w:rPr>
      <w:b/>
    </w:rPr>
  </w:style>
  <w:style w:type="character" w:customStyle="1" w:styleId="Underlined">
    <w:name w:val="Underlined"/>
    <w:basedOn w:val="DefaultParagraphFont"/>
    <w:rsid w:val="002F7AE2"/>
    <w:rPr>
      <w:u w:val="single"/>
    </w:rPr>
  </w:style>
  <w:style w:type="paragraph" w:customStyle="1" w:styleId="TableBodyTextRight">
    <w:name w:val="Table Body Text Right"/>
    <w:basedOn w:val="TableBodyText"/>
    <w:rsid w:val="002F7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AE2"/>
    <w:rPr>
      <w:sz w:val="18"/>
    </w:rPr>
  </w:style>
  <w:style w:type="paragraph" w:customStyle="1" w:styleId="BodySmallRight">
    <w:name w:val="Body Small Right"/>
    <w:basedOn w:val="BodyTextRight"/>
    <w:rsid w:val="002F7AE2"/>
    <w:rPr>
      <w:sz w:val="18"/>
      <w:szCs w:val="18"/>
    </w:rPr>
  </w:style>
  <w:style w:type="paragraph" w:customStyle="1" w:styleId="MarginEdition">
    <w:name w:val="Margin Edition"/>
    <w:basedOn w:val="MarginNote"/>
    <w:rsid w:val="002F7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AE2"/>
    <w:rPr>
      <w:sz w:val="2"/>
      <w:szCs w:val="2"/>
    </w:rPr>
  </w:style>
  <w:style w:type="character" w:customStyle="1" w:styleId="Small">
    <w:name w:val="Small"/>
    <w:basedOn w:val="DefaultParagraphFont"/>
    <w:rsid w:val="002F7AE2"/>
    <w:rPr>
      <w:sz w:val="16"/>
    </w:rPr>
  </w:style>
  <w:style w:type="paragraph" w:customStyle="1" w:styleId="WideTable">
    <w:name w:val="Wide Table"/>
    <w:basedOn w:val="Normal"/>
    <w:rsid w:val="002F7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AE2"/>
  </w:style>
  <w:style w:type="paragraph" w:styleId="Quote">
    <w:name w:val="Quote"/>
    <w:basedOn w:val="Heading1"/>
    <w:link w:val="QuoteChar"/>
    <w:qFormat/>
    <w:rsid w:val="002F7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AE2"/>
    <w:pPr>
      <w:pageBreakBefore/>
    </w:pPr>
  </w:style>
  <w:style w:type="paragraph" w:customStyle="1" w:styleId="Border">
    <w:name w:val="Border"/>
    <w:basedOn w:val="Normal"/>
    <w:qFormat/>
    <w:rsid w:val="002F7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AE2"/>
    <w:rPr>
      <w:u w:val="single"/>
    </w:rPr>
  </w:style>
  <w:style w:type="character" w:customStyle="1" w:styleId="BoldandItalics">
    <w:name w:val="Bold and Italics"/>
    <w:qFormat/>
    <w:rsid w:val="002F7AE2"/>
    <w:rPr>
      <w:b/>
      <w:i/>
      <w:u w:val="none"/>
    </w:rPr>
  </w:style>
  <w:style w:type="paragraph" w:styleId="BalloonText">
    <w:name w:val="Balloon Text"/>
    <w:basedOn w:val="Normal"/>
    <w:link w:val="BalloonTextChar"/>
    <w:rsid w:val="002F7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AE2"/>
    <w:pPr>
      <w:spacing w:before="0" w:after="0"/>
    </w:pPr>
  </w:style>
  <w:style w:type="paragraph" w:customStyle="1" w:styleId="BodyTextBold">
    <w:name w:val="Body Text Bold"/>
    <w:basedOn w:val="BodyText"/>
    <w:qFormat/>
    <w:rsid w:val="002F7AE2"/>
    <w:rPr>
      <w:b/>
    </w:rPr>
  </w:style>
  <w:style w:type="character" w:styleId="Hyperlink">
    <w:name w:val="Hyperlink"/>
    <w:basedOn w:val="DefaultParagraphFont"/>
    <w:uiPriority w:val="99"/>
    <w:unhideWhenUsed/>
    <w:rsid w:val="00132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2659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FNSFMB402 Identify client needs for broking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2022-01-27T02:26:00Z</dcterms:created>
  <dcterms:modified xsi:type="dcterms:W3CDTF">2022-01-27T02:26:00Z</dcterms:modified>
</cp:coreProperties>
</file>