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3A1" w:rsidP="009C7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FNSFLT515 Facilitate knowledge of superannuation as an investment tool</w:t>
      </w:r>
      <w:r>
        <w:fldChar w:fldCharType="end"/>
      </w:r>
    </w:p>
    <w:p w:rsidR="009C73A1" w:rsidP="009C73A1">
      <w:pPr>
        <w:pStyle w:val="Version"/>
        <w:sectPr w:rsidSect="00722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C4B" w:rsidP="00722C4B">
      <w:pPr>
        <w:pStyle w:val="SuperHeading"/>
      </w:pPr>
      <w:r w:rsidRPr="00722C4B">
        <w:t>Assessment Requirements for FNSFLT515 Facilitate knowledge of superannuation as an investment tool</w:t>
      </w:r>
    </w:p>
    <w:p w:rsidR="00000000" w:rsidRPr="00722C4B" w:rsidP="00722C4B">
      <w:pPr>
        <w:pStyle w:val="Heading1"/>
      </w:pPr>
      <w:bookmarkStart w:id="1" w:name="O_1158247"/>
      <w:bookmarkEnd w:id="1"/>
      <w:r w:rsidRPr="00722C4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22C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C4B" w:rsidP="00722C4B">
            <w:pPr>
              <w:pStyle w:val="BodyText"/>
            </w:pPr>
            <w:r w:rsidRPr="00722C4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C4B">
            <w:pPr>
              <w:pStyle w:val="BodyText"/>
              <w:rPr>
                <w:lang w:val="en-NZ"/>
              </w:rPr>
            </w:pPr>
            <w:r w:rsidRPr="00722C4B">
              <w:rPr>
                <w:rStyle w:val="SpecialBold"/>
              </w:rPr>
              <w:t>Comments</w:t>
            </w:r>
          </w:p>
        </w:tc>
      </w:tr>
      <w:tr w:rsidTr="00722C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C4B">
            <w:pPr>
              <w:pStyle w:val="BodyText"/>
              <w:rPr>
                <w:lang w:val="en-NZ"/>
              </w:rPr>
            </w:pPr>
            <w:r w:rsidRPr="00722C4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C4B" w:rsidP="00722C4B">
            <w:pPr>
              <w:pStyle w:val="BodyText"/>
            </w:pPr>
            <w:r w:rsidRPr="00722C4B">
              <w:t>This version first released with FNS Financial Services Training Package Version 6.0.</w:t>
            </w:r>
          </w:p>
        </w:tc>
      </w:tr>
    </w:tbl>
    <w:p w:rsidR="00000000" w:rsidRPr="00722C4B" w:rsidP="00722C4B">
      <w:pPr>
        <w:pStyle w:val="BodyText"/>
      </w:pPr>
    </w:p>
    <w:p w:rsidR="00000000" w:rsidRPr="00722C4B" w:rsidP="00722C4B">
      <w:pPr>
        <w:pStyle w:val="AllowPageBreak"/>
      </w:pPr>
    </w:p>
    <w:p w:rsidR="00000000" w:rsidRPr="00722C4B" w:rsidP="00722C4B">
      <w:pPr>
        <w:pStyle w:val="Heading1"/>
      </w:pPr>
      <w:bookmarkStart w:id="2" w:name="O_1158250"/>
      <w:bookmarkEnd w:id="2"/>
      <w:r w:rsidRPr="00722C4B">
        <w:t>Performance Evidence</w:t>
      </w:r>
    </w:p>
    <w:p w:rsidR="00000000" w:rsidRPr="00722C4B" w:rsidP="009C73A1">
      <w:pPr>
        <w:pStyle w:val="BodyText"/>
      </w:pPr>
      <w:r w:rsidRPr="00722C4B">
        <w:t>The candidate must demonstrate the ability to complete the tasks outlined in the elements, performance criteria and foundation skills of this unit, including evidence of the ability to:</w:t>
      </w:r>
    </w:p>
    <w:p w:rsidR="00000000" w:rsidRPr="00722C4B" w:rsidP="00722C4B">
      <w:pPr>
        <w:pStyle w:val="ListBullet"/>
      </w:pPr>
      <w:r w:rsidRPr="00722C4B">
        <w:t>facilitate knowledge of supera</w:t>
      </w:r>
      <w:r w:rsidRPr="00722C4B">
        <w:t>nnuation as an investment tool in at least three individuals.</w:t>
      </w:r>
    </w:p>
    <w:p w:rsidR="00000000" w:rsidRPr="00722C4B" w:rsidP="00722C4B">
      <w:pPr>
        <w:pStyle w:val="List"/>
      </w:pPr>
    </w:p>
    <w:p w:rsidR="00000000" w:rsidRPr="00722C4B" w:rsidP="009C73A1">
      <w:pPr>
        <w:pStyle w:val="BodyText"/>
      </w:pPr>
      <w:r w:rsidRPr="00722C4B">
        <w:t>In the course of the above, the candidate must:</w:t>
      </w:r>
    </w:p>
    <w:p w:rsidR="00000000" w:rsidRPr="00722C4B" w:rsidP="00722C4B">
      <w:pPr>
        <w:pStyle w:val="ListBullet"/>
      </w:pPr>
      <w:r w:rsidRPr="00722C4B">
        <w:t>explain and clarify key terminology used in the superannuation industry.</w:t>
      </w:r>
    </w:p>
    <w:p w:rsidR="00000000" w:rsidRPr="00722C4B" w:rsidP="00722C4B">
      <w:pPr>
        <w:pStyle w:val="AllowPageBreak"/>
      </w:pPr>
    </w:p>
    <w:p w:rsidR="00000000" w:rsidRPr="00722C4B" w:rsidP="00722C4B">
      <w:pPr>
        <w:pStyle w:val="Heading1"/>
      </w:pPr>
      <w:bookmarkStart w:id="3" w:name="O_1158249"/>
      <w:bookmarkEnd w:id="3"/>
      <w:r w:rsidRPr="00722C4B">
        <w:t>Knowledge Evidence</w:t>
      </w:r>
    </w:p>
    <w:p w:rsidR="00000000" w:rsidRPr="00722C4B" w:rsidP="009C73A1">
      <w:pPr>
        <w:pStyle w:val="BodyText"/>
      </w:pPr>
      <w:r w:rsidRPr="00722C4B">
        <w:t>The candidate must be able to demonstrate knowledge to complete the tasks outlined in the elements, performance criteria and foundation skills of this unit, including knowledge of:</w:t>
      </w:r>
    </w:p>
    <w:p w:rsidR="00000000" w:rsidRPr="00722C4B" w:rsidP="00722C4B">
      <w:pPr>
        <w:pStyle w:val="ListBullet"/>
      </w:pPr>
      <w:r w:rsidRPr="00722C4B">
        <w:t xml:space="preserve">key characteristics, types of superannuation schemes and terminology used </w:t>
      </w:r>
      <w:r w:rsidRPr="00722C4B">
        <w:t>in the Australian superannuation industry</w:t>
      </w:r>
    </w:p>
    <w:p w:rsidR="00000000" w:rsidRPr="00722C4B" w:rsidP="00722C4B">
      <w:pPr>
        <w:pStyle w:val="ListBullet"/>
      </w:pPr>
      <w:r w:rsidRPr="00722C4B">
        <w:t>key impacts of the introduction of superannuation guarantee contributions by employers, including their impact on individual and community savings patterns</w:t>
      </w:r>
    </w:p>
    <w:p w:rsidR="00000000" w:rsidRPr="00722C4B" w:rsidP="00722C4B">
      <w:pPr>
        <w:pStyle w:val="ListBullet"/>
      </w:pPr>
      <w:r w:rsidRPr="00722C4B">
        <w:t>key types of superannuation fund managers and the differen</w:t>
      </w:r>
      <w:r w:rsidRPr="00722C4B">
        <w:t>t strategies that can be used in a fund</w:t>
      </w:r>
    </w:p>
    <w:p w:rsidR="00000000" w:rsidRPr="00722C4B" w:rsidP="00722C4B">
      <w:pPr>
        <w:pStyle w:val="ListBullet"/>
      </w:pPr>
      <w:r w:rsidRPr="00722C4B">
        <w:t>key sources for obtaining information about superannuation in Australia</w:t>
      </w:r>
    </w:p>
    <w:p w:rsidR="00000000" w:rsidRPr="00722C4B" w:rsidP="00722C4B">
      <w:pPr>
        <w:pStyle w:val="ListBullet"/>
      </w:pPr>
      <w:r w:rsidRPr="00722C4B">
        <w:t>key costs associated with administering and managing funds, and how to check statements</w:t>
      </w:r>
    </w:p>
    <w:p w:rsidR="00000000" w:rsidRPr="00722C4B" w:rsidP="00722C4B">
      <w:pPr>
        <w:pStyle w:val="ListBullet"/>
      </w:pPr>
      <w:r w:rsidRPr="00722C4B">
        <w:t>key role of death benefits in superannuation schemes</w:t>
      </w:r>
    </w:p>
    <w:p w:rsidR="00000000" w:rsidRPr="00722C4B" w:rsidP="00722C4B">
      <w:pPr>
        <w:pStyle w:val="ListBullet"/>
      </w:pPr>
      <w:r w:rsidRPr="00722C4B">
        <w:t>met</w:t>
      </w:r>
      <w:r w:rsidRPr="00722C4B">
        <w:t>hods for analysing and comparing the performance of superannuation funds over time</w:t>
      </w:r>
    </w:p>
    <w:p w:rsidR="00000000" w:rsidRPr="00722C4B" w:rsidP="00722C4B">
      <w:pPr>
        <w:pStyle w:val="ListBullet"/>
      </w:pPr>
      <w:r w:rsidRPr="00722C4B">
        <w:t>key methods for checking and analysing superannuation statements, including for:</w:t>
      </w:r>
    </w:p>
    <w:p w:rsidR="00000000" w:rsidRPr="00722C4B" w:rsidP="00722C4B">
      <w:pPr>
        <w:pStyle w:val="ListBullet2"/>
      </w:pPr>
      <w:r w:rsidRPr="00722C4B">
        <w:t>accuracy</w:t>
      </w:r>
    </w:p>
    <w:p w:rsidR="00000000" w:rsidRPr="00722C4B" w:rsidP="00722C4B">
      <w:pPr>
        <w:pStyle w:val="ListBullet2"/>
      </w:pPr>
      <w:r w:rsidRPr="00722C4B">
        <w:t>performance</w:t>
      </w:r>
    </w:p>
    <w:p w:rsidR="00000000" w:rsidRPr="00722C4B" w:rsidP="00722C4B">
      <w:pPr>
        <w:pStyle w:val="ListBullet2"/>
      </w:pPr>
      <w:r w:rsidRPr="00722C4B">
        <w:t>rate of return</w:t>
      </w:r>
    </w:p>
    <w:p w:rsidR="00000000" w:rsidRPr="00722C4B" w:rsidP="00722C4B">
      <w:pPr>
        <w:pStyle w:val="ListBullet2"/>
      </w:pPr>
      <w:r w:rsidRPr="00722C4B">
        <w:t>government taxes</w:t>
      </w:r>
    </w:p>
    <w:p w:rsidR="00000000" w:rsidRPr="00722C4B" w:rsidP="00722C4B">
      <w:pPr>
        <w:pStyle w:val="ListBullet2"/>
      </w:pPr>
      <w:r w:rsidRPr="00722C4B">
        <w:t>other common costs</w:t>
      </w:r>
    </w:p>
    <w:p w:rsidR="00000000" w:rsidRPr="00722C4B" w:rsidP="00722C4B">
      <w:pPr>
        <w:pStyle w:val="ListBullet"/>
      </w:pPr>
      <w:r w:rsidRPr="00722C4B">
        <w:t>key strategies for building superannuation savings, including:</w:t>
      </w:r>
    </w:p>
    <w:p w:rsidR="00000000" w:rsidRPr="00722C4B" w:rsidP="00722C4B">
      <w:pPr>
        <w:pStyle w:val="ListBullet2"/>
      </w:pPr>
      <w:r w:rsidRPr="00722C4B">
        <w:t>personal contributions</w:t>
      </w:r>
    </w:p>
    <w:p w:rsidR="00000000" w:rsidRPr="00722C4B" w:rsidP="00722C4B">
      <w:pPr>
        <w:pStyle w:val="ListBullet2"/>
      </w:pPr>
      <w:r w:rsidRPr="00722C4B">
        <w:t>salary sacrificing</w:t>
      </w:r>
    </w:p>
    <w:p w:rsidR="00000000" w:rsidRPr="00722C4B" w:rsidP="00722C4B">
      <w:pPr>
        <w:pStyle w:val="ListBullet"/>
      </w:pPr>
      <w:r w:rsidRPr="00722C4B">
        <w:t>key potential impacts of changing employment or employer on superannuation</w:t>
      </w:r>
    </w:p>
    <w:p w:rsidR="00000000" w:rsidRPr="00722C4B" w:rsidP="00722C4B">
      <w:pPr>
        <w:pStyle w:val="ListBullet"/>
      </w:pPr>
      <w:r w:rsidRPr="00722C4B">
        <w:t>mechanisms to complete common actions in relation to an individual’s super</w:t>
      </w:r>
      <w:r w:rsidRPr="00722C4B">
        <w:t>annuation fund, including:</w:t>
      </w:r>
    </w:p>
    <w:p w:rsidR="00000000" w:rsidRPr="00722C4B" w:rsidP="00722C4B">
      <w:pPr>
        <w:pStyle w:val="ListBullet2"/>
      </w:pPr>
      <w:r w:rsidRPr="00722C4B">
        <w:t>gaining information and clarification</w:t>
      </w:r>
    </w:p>
    <w:p w:rsidR="00000000" w:rsidRPr="00722C4B" w:rsidP="00722C4B">
      <w:pPr>
        <w:pStyle w:val="ListBullet2"/>
      </w:pPr>
      <w:r w:rsidRPr="00722C4B">
        <w:t>tracking lost contributions</w:t>
      </w:r>
    </w:p>
    <w:p w:rsidR="00000000" w:rsidRPr="00722C4B" w:rsidP="00722C4B">
      <w:pPr>
        <w:pStyle w:val="ListBullet2"/>
      </w:pPr>
      <w:r w:rsidRPr="00722C4B">
        <w:t>lodging complaints</w:t>
      </w:r>
    </w:p>
    <w:p w:rsidR="00000000" w:rsidRPr="00722C4B" w:rsidP="00722C4B">
      <w:pPr>
        <w:pStyle w:val="ListBullet"/>
      </w:pPr>
      <w:r w:rsidRPr="00722C4B">
        <w:t>common events, processes and requirements which prompt management and/or deployment of superannuation including:</w:t>
      </w:r>
    </w:p>
    <w:p w:rsidR="00000000" w:rsidRPr="00722C4B" w:rsidP="00722C4B">
      <w:pPr>
        <w:pStyle w:val="ListBullet2"/>
      </w:pPr>
      <w:r w:rsidRPr="00722C4B">
        <w:t>change of employment status</w:t>
      </w:r>
    </w:p>
    <w:p w:rsidR="00000000" w:rsidRPr="00722C4B" w:rsidP="00722C4B">
      <w:pPr>
        <w:pStyle w:val="ListBullet2"/>
      </w:pPr>
      <w:r w:rsidRPr="00722C4B">
        <w:t>change of employer</w:t>
      </w:r>
    </w:p>
    <w:p w:rsidR="00000000" w:rsidRPr="00722C4B" w:rsidP="00722C4B">
      <w:pPr>
        <w:pStyle w:val="ListBullet"/>
      </w:pPr>
      <w:r w:rsidRPr="00722C4B">
        <w:t>role and nature of preserved and non-preserved components of superannuation funds</w:t>
      </w:r>
    </w:p>
    <w:p w:rsidR="00000000" w:rsidRPr="00722C4B" w:rsidP="00722C4B">
      <w:pPr>
        <w:pStyle w:val="ListBullet"/>
      </w:pPr>
      <w:r w:rsidRPr="00722C4B">
        <w:t>key requirements of relevant government legislation relating to superannuation, including minimum age of access</w:t>
      </w:r>
    </w:p>
    <w:p w:rsidR="00000000" w:rsidRPr="00722C4B" w:rsidP="00722C4B">
      <w:pPr>
        <w:pStyle w:val="ListBullet"/>
      </w:pPr>
      <w:r w:rsidRPr="00722C4B">
        <w:t xml:space="preserve">key consumer issues relating to superannuation information </w:t>
      </w:r>
    </w:p>
    <w:p w:rsidR="00000000" w:rsidRPr="00722C4B" w:rsidP="00722C4B">
      <w:pPr>
        <w:pStyle w:val="ListBullet"/>
      </w:pPr>
      <w:r w:rsidRPr="00722C4B">
        <w:t>key features of relevant industry codes of practice relating to privacy and consumer credit and protection</w:t>
      </w:r>
    </w:p>
    <w:p w:rsidR="00000000" w:rsidRPr="00722C4B" w:rsidP="00722C4B">
      <w:pPr>
        <w:pStyle w:val="ListBullet"/>
      </w:pPr>
      <w:r w:rsidRPr="00722C4B">
        <w:t>common structures and techniques for using superannuation funds upon retirement</w:t>
      </w:r>
    </w:p>
    <w:p w:rsidR="00000000" w:rsidRPr="00722C4B" w:rsidP="00722C4B">
      <w:pPr>
        <w:pStyle w:val="ListBullet"/>
      </w:pPr>
      <w:r w:rsidRPr="00722C4B">
        <w:t>regulator</w:t>
      </w:r>
      <w:r w:rsidRPr="00722C4B">
        <w:t>y requirements and restrictions applicable to the provision of financial advice</w:t>
      </w:r>
    </w:p>
    <w:p w:rsidR="00000000" w:rsidRPr="00722C4B" w:rsidP="00722C4B">
      <w:pPr>
        <w:pStyle w:val="ListBullet"/>
      </w:pPr>
      <w:r w:rsidRPr="00722C4B">
        <w:t>roles and relationships between key participants in the Australian financial services industry, including:</w:t>
      </w:r>
    </w:p>
    <w:p w:rsidR="00000000" w:rsidRPr="00722C4B" w:rsidP="00722C4B">
      <w:pPr>
        <w:pStyle w:val="ListBullet2"/>
      </w:pPr>
      <w:r w:rsidRPr="00722C4B">
        <w:t>key regulators</w:t>
      </w:r>
    </w:p>
    <w:p w:rsidR="00000000" w:rsidRPr="00722C4B" w:rsidP="00722C4B">
      <w:pPr>
        <w:pStyle w:val="ListBullet2"/>
      </w:pPr>
      <w:r w:rsidRPr="00722C4B">
        <w:t>superannuation trustees</w:t>
      </w:r>
    </w:p>
    <w:p w:rsidR="00000000" w:rsidRPr="00722C4B" w:rsidP="00722C4B">
      <w:pPr>
        <w:pStyle w:val="ListBullet2"/>
      </w:pPr>
      <w:r w:rsidRPr="00722C4B">
        <w:t>banks and other financial int</w:t>
      </w:r>
      <w:r w:rsidRPr="00722C4B">
        <w:t>ermediaries</w:t>
      </w:r>
    </w:p>
    <w:p w:rsidR="00000000" w:rsidRPr="00722C4B" w:rsidP="00722C4B">
      <w:pPr>
        <w:pStyle w:val="ListBullet"/>
      </w:pPr>
      <w:r w:rsidRPr="00722C4B">
        <w:t>techniques to interpret patterns, trends and compare financial information</w:t>
      </w:r>
    </w:p>
    <w:p w:rsidR="00000000" w:rsidRPr="00722C4B" w:rsidP="00722C4B">
      <w:pPr>
        <w:pStyle w:val="ListBullet"/>
      </w:pPr>
      <w:r w:rsidRPr="00722C4B">
        <w:t>techniques to mentor and educate people in financial literacy matters.</w:t>
      </w:r>
    </w:p>
    <w:p w:rsidR="00000000" w:rsidRPr="00722C4B" w:rsidP="00722C4B">
      <w:pPr>
        <w:pStyle w:val="AllowPageBreak"/>
      </w:pPr>
    </w:p>
    <w:p w:rsidR="00000000" w:rsidRPr="00722C4B" w:rsidP="00722C4B">
      <w:pPr>
        <w:pStyle w:val="Heading1"/>
      </w:pPr>
      <w:bookmarkStart w:id="4" w:name="O_1158248"/>
      <w:bookmarkEnd w:id="4"/>
      <w:r w:rsidRPr="00722C4B">
        <w:t>Assessment Conditions</w:t>
      </w:r>
    </w:p>
    <w:p w:rsidR="00000000" w:rsidRPr="00722C4B" w:rsidP="009C73A1">
      <w:pPr>
        <w:pStyle w:val="BodyText"/>
      </w:pPr>
      <w:r w:rsidRPr="00722C4B">
        <w:t xml:space="preserve">Skills in this unit must be demonstrated in a workplace or simulated environment where the conditions are typical of those in a working environment in this industry. </w:t>
      </w:r>
    </w:p>
    <w:p w:rsidR="00000000" w:rsidRPr="00722C4B" w:rsidP="009C73A1">
      <w:pPr>
        <w:pStyle w:val="BodyText"/>
      </w:pPr>
      <w:r w:rsidRPr="00722C4B">
        <w:t>This includes access to:</w:t>
      </w:r>
    </w:p>
    <w:p w:rsidR="00000000" w:rsidRPr="00722C4B" w:rsidP="00722C4B">
      <w:pPr>
        <w:pStyle w:val="ListBullet"/>
      </w:pPr>
      <w:r w:rsidRPr="00722C4B">
        <w:t>office equipment, technology, software and consumables</w:t>
      </w:r>
    </w:p>
    <w:p w:rsidR="00000000" w:rsidRPr="00722C4B" w:rsidP="00722C4B">
      <w:pPr>
        <w:pStyle w:val="ListBullet"/>
      </w:pPr>
      <w:r w:rsidRPr="00722C4B">
        <w:t>financia</w:t>
      </w:r>
      <w:r w:rsidRPr="00722C4B">
        <w:t>l services superannuation product information</w:t>
      </w:r>
    </w:p>
    <w:p w:rsidR="00000000" w:rsidRPr="00722C4B" w:rsidP="00722C4B">
      <w:pPr>
        <w:pStyle w:val="ListBullet"/>
      </w:pPr>
      <w:r w:rsidRPr="00722C4B">
        <w:t>individuals.</w:t>
      </w:r>
    </w:p>
    <w:p w:rsidR="00000000" w:rsidRPr="00722C4B" w:rsidP="00722C4B">
      <w:pPr>
        <w:pStyle w:val="List"/>
      </w:pPr>
    </w:p>
    <w:p w:rsidR="00000000" w:rsidRPr="00722C4B" w:rsidP="009C73A1">
      <w:pPr>
        <w:pStyle w:val="BodyText"/>
      </w:pPr>
      <w:r w:rsidRPr="00722C4B">
        <w:t>Assessors of this unit must satisfy the requirements for assessors in applicable vocational education and training legislation, frameworks and/or standards.</w:t>
      </w:r>
    </w:p>
    <w:p w:rsidR="00000000" w:rsidRPr="00722C4B" w:rsidP="00722C4B">
      <w:pPr>
        <w:pStyle w:val="Heading1"/>
      </w:pPr>
      <w:bookmarkStart w:id="5" w:name="O_1158246"/>
      <w:bookmarkEnd w:id="5"/>
      <w:r w:rsidRPr="00722C4B">
        <w:t>Links</w:t>
      </w:r>
    </w:p>
    <w:p w:rsidR="00000000" w:rsidRPr="00722C4B" w:rsidP="009C73A1">
      <w:pPr>
        <w:pStyle w:val="BodyText"/>
      </w:pPr>
      <w:r w:rsidRPr="00722C4B">
        <w:t>Companion Volu</w:t>
      </w:r>
      <w:r w:rsidRPr="00722C4B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97E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2C4B" w:rsidP="00722C4B"/>
    <w:sectPr w:rsidSect="00722C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4B" w:rsidRPr="009C73A1" w:rsidP="009C7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1" w:rsidP="00722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3A1" w:rsidP="00722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73A1" w:rsidP="00722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C4B" w:rsidRPr="009C73A1" w:rsidP="009C7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1" w:rsidRPr="002D2AF8" w:rsidP="00722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FNSFLT515 Facilitate knowledge of superannuation as an investment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C73A1" w:rsidP="00722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2CA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A02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4A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C4B"/>
  </w:style>
  <w:style w:type="character" w:customStyle="1" w:styleId="Heading1Char">
    <w:name w:val="Heading 1 Char"/>
    <w:basedOn w:val="DefaultParagraphFont"/>
    <w:link w:val="Heading1"/>
    <w:rsid w:val="00722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C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C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C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C4B"/>
    <w:rPr>
      <w:b/>
      <w:spacing w:val="0"/>
    </w:rPr>
  </w:style>
  <w:style w:type="paragraph" w:styleId="ListBullet2">
    <w:name w:val="List Bullet 2"/>
    <w:basedOn w:val="List2"/>
    <w:rsid w:val="00722C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C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C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C4B"/>
    <w:rPr>
      <w:i/>
    </w:rPr>
  </w:style>
  <w:style w:type="paragraph" w:styleId="Caption">
    <w:name w:val="caption"/>
    <w:basedOn w:val="BodyText"/>
    <w:next w:val="Normal"/>
    <w:qFormat/>
    <w:rsid w:val="00722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C4B"/>
  </w:style>
  <w:style w:type="paragraph" w:styleId="TableofFigures">
    <w:name w:val="table of figures"/>
    <w:basedOn w:val="Normal"/>
    <w:next w:val="Normal"/>
    <w:semiHidden/>
    <w:rsid w:val="00722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C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C4B"/>
    <w:rPr>
      <w:rFonts w:ascii="Wingdings" w:hAnsi="Wingdings"/>
    </w:rPr>
  </w:style>
  <w:style w:type="paragraph" w:customStyle="1" w:styleId="TableHeading">
    <w:name w:val="Table Heading"/>
    <w:basedOn w:val="HeadingBase"/>
    <w:rsid w:val="00722C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C4B"/>
    <w:rPr>
      <w:color w:val="0033CC"/>
      <w:u w:val="none"/>
    </w:rPr>
  </w:style>
  <w:style w:type="paragraph" w:customStyle="1" w:styleId="BodyTextRight">
    <w:name w:val="Body Text Right"/>
    <w:basedOn w:val="BodyText"/>
    <w:rsid w:val="00722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C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C4B"/>
    <w:rPr>
      <w:sz w:val="32"/>
    </w:rPr>
  </w:style>
  <w:style w:type="paragraph" w:customStyle="1" w:styleId="HeadingProcedure">
    <w:name w:val="Heading Procedure"/>
    <w:basedOn w:val="HeadingBase"/>
    <w:next w:val="Normal"/>
    <w:rsid w:val="00722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C4B"/>
    <w:pPr>
      <w:spacing w:before="60" w:after="60"/>
    </w:pPr>
  </w:style>
  <w:style w:type="paragraph" w:styleId="ListContinue">
    <w:name w:val="List Continue"/>
    <w:basedOn w:val="List"/>
    <w:rsid w:val="00722C4B"/>
    <w:pPr>
      <w:ind w:firstLine="0"/>
    </w:pPr>
  </w:style>
  <w:style w:type="paragraph" w:customStyle="1" w:styleId="ListNote">
    <w:name w:val="List Note"/>
    <w:basedOn w:val="List"/>
    <w:rsid w:val="00722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C4B"/>
    <w:rPr>
      <w:rFonts w:ascii="Courier New" w:hAnsi="Courier New"/>
    </w:rPr>
  </w:style>
  <w:style w:type="paragraph" w:customStyle="1" w:styleId="NoteBullet">
    <w:name w:val="Note Bullet"/>
    <w:basedOn w:val="Note"/>
    <w:rsid w:val="00722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C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C4B"/>
    <w:rPr>
      <w:b/>
      <w:smallCaps/>
    </w:rPr>
  </w:style>
  <w:style w:type="paragraph" w:customStyle="1" w:styleId="TableListNumber">
    <w:name w:val="Table List Number"/>
    <w:basedOn w:val="ListNumber"/>
    <w:rsid w:val="00722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C4B"/>
    <w:pPr>
      <w:numPr>
        <w:numId w:val="9"/>
      </w:numPr>
    </w:pPr>
  </w:style>
  <w:style w:type="paragraph" w:customStyle="1" w:styleId="ListAlpha2">
    <w:name w:val="List Alpha 2"/>
    <w:basedOn w:val="List2"/>
    <w:rsid w:val="00722C4B"/>
    <w:pPr>
      <w:numPr>
        <w:numId w:val="8"/>
      </w:numPr>
    </w:pPr>
  </w:style>
  <w:style w:type="paragraph" w:styleId="List2">
    <w:name w:val="List 2"/>
    <w:basedOn w:val="BodyText"/>
    <w:rsid w:val="00722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C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C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C4B"/>
    <w:pPr>
      <w:numPr>
        <w:numId w:val="4"/>
      </w:numPr>
    </w:pPr>
  </w:style>
  <w:style w:type="paragraph" w:styleId="ListContinue2">
    <w:name w:val="List Continue 2"/>
    <w:basedOn w:val="List2"/>
    <w:rsid w:val="00722C4B"/>
    <w:pPr>
      <w:ind w:firstLine="0"/>
    </w:pPr>
  </w:style>
  <w:style w:type="paragraph" w:styleId="ListContinue3">
    <w:name w:val="List Continue 3"/>
    <w:basedOn w:val="List3"/>
    <w:rsid w:val="00722C4B"/>
    <w:pPr>
      <w:ind w:left="1021" w:firstLine="0"/>
    </w:pPr>
  </w:style>
  <w:style w:type="paragraph" w:styleId="ListContinue4">
    <w:name w:val="List Continue 4"/>
    <w:basedOn w:val="List4"/>
    <w:rsid w:val="00722C4B"/>
    <w:pPr>
      <w:ind w:firstLine="0"/>
    </w:pPr>
  </w:style>
  <w:style w:type="paragraph" w:styleId="ListContinue5">
    <w:name w:val="List Continue 5"/>
    <w:basedOn w:val="List5"/>
    <w:rsid w:val="00722C4B"/>
    <w:pPr>
      <w:ind w:firstLine="0"/>
    </w:pPr>
  </w:style>
  <w:style w:type="paragraph" w:styleId="ListNumber3">
    <w:name w:val="List Number 3"/>
    <w:basedOn w:val="List3"/>
    <w:rsid w:val="00722C4B"/>
    <w:pPr>
      <w:numPr>
        <w:numId w:val="5"/>
      </w:numPr>
    </w:pPr>
  </w:style>
  <w:style w:type="paragraph" w:styleId="ListNumber4">
    <w:name w:val="List Number 4"/>
    <w:basedOn w:val="List4"/>
    <w:rsid w:val="00722C4B"/>
    <w:pPr>
      <w:numPr>
        <w:numId w:val="6"/>
      </w:numPr>
    </w:pPr>
  </w:style>
  <w:style w:type="paragraph" w:styleId="ListNumber5">
    <w:name w:val="List Number 5"/>
    <w:basedOn w:val="List5"/>
    <w:rsid w:val="00722C4B"/>
    <w:pPr>
      <w:numPr>
        <w:numId w:val="7"/>
      </w:numPr>
    </w:pPr>
  </w:style>
  <w:style w:type="paragraph" w:styleId="BlockText">
    <w:name w:val="Block Text"/>
    <w:basedOn w:val="Normal"/>
    <w:rsid w:val="00722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C4B"/>
    <w:rPr>
      <w:sz w:val="16"/>
      <w:vertAlign w:val="superscript"/>
    </w:rPr>
  </w:style>
  <w:style w:type="character" w:customStyle="1" w:styleId="Symbols">
    <w:name w:val="Symbols"/>
    <w:basedOn w:val="DefaultParagraphFont"/>
    <w:rsid w:val="00722C4B"/>
    <w:rPr>
      <w:rFonts w:ascii="Symbol" w:hAnsi="Symbol"/>
    </w:rPr>
  </w:style>
  <w:style w:type="character" w:customStyle="1" w:styleId="MenuOptions">
    <w:name w:val="Menu Options"/>
    <w:basedOn w:val="DefaultParagraphFont"/>
    <w:rsid w:val="00722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C4B"/>
    <w:rPr>
      <w:b/>
    </w:rPr>
  </w:style>
  <w:style w:type="character" w:customStyle="1" w:styleId="Underlined">
    <w:name w:val="Underlined"/>
    <w:basedOn w:val="DefaultParagraphFont"/>
    <w:rsid w:val="00722C4B"/>
    <w:rPr>
      <w:u w:val="single"/>
    </w:rPr>
  </w:style>
  <w:style w:type="paragraph" w:customStyle="1" w:styleId="TableBodyTextRight">
    <w:name w:val="Table Body Text Right"/>
    <w:basedOn w:val="TableBodyText"/>
    <w:rsid w:val="00722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C4B"/>
    <w:rPr>
      <w:sz w:val="18"/>
    </w:rPr>
  </w:style>
  <w:style w:type="paragraph" w:customStyle="1" w:styleId="BodySmallRight">
    <w:name w:val="Body Small Right"/>
    <w:basedOn w:val="BodyTextRight"/>
    <w:rsid w:val="00722C4B"/>
    <w:rPr>
      <w:sz w:val="18"/>
      <w:szCs w:val="18"/>
    </w:rPr>
  </w:style>
  <w:style w:type="paragraph" w:customStyle="1" w:styleId="MarginEdition">
    <w:name w:val="Margin Edition"/>
    <w:basedOn w:val="MarginNote"/>
    <w:rsid w:val="00722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C4B"/>
    <w:rPr>
      <w:sz w:val="2"/>
      <w:szCs w:val="2"/>
    </w:rPr>
  </w:style>
  <w:style w:type="character" w:customStyle="1" w:styleId="Small">
    <w:name w:val="Small"/>
    <w:basedOn w:val="DefaultParagraphFont"/>
    <w:rsid w:val="00722C4B"/>
    <w:rPr>
      <w:sz w:val="16"/>
    </w:rPr>
  </w:style>
  <w:style w:type="paragraph" w:customStyle="1" w:styleId="WideTable">
    <w:name w:val="Wide Table"/>
    <w:basedOn w:val="Normal"/>
    <w:rsid w:val="00722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C4B"/>
  </w:style>
  <w:style w:type="paragraph" w:styleId="Quote">
    <w:name w:val="Quote"/>
    <w:basedOn w:val="Heading1"/>
    <w:link w:val="QuoteChar"/>
    <w:qFormat/>
    <w:rsid w:val="00722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C4B"/>
    <w:pPr>
      <w:pageBreakBefore/>
    </w:pPr>
  </w:style>
  <w:style w:type="paragraph" w:customStyle="1" w:styleId="Border">
    <w:name w:val="Border"/>
    <w:basedOn w:val="Normal"/>
    <w:qFormat/>
    <w:rsid w:val="00722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C4B"/>
    <w:rPr>
      <w:u w:val="single"/>
    </w:rPr>
  </w:style>
  <w:style w:type="character" w:customStyle="1" w:styleId="BoldandItalics">
    <w:name w:val="Bold and Italics"/>
    <w:qFormat/>
    <w:rsid w:val="00722C4B"/>
    <w:rPr>
      <w:b/>
      <w:i/>
      <w:u w:val="none"/>
    </w:rPr>
  </w:style>
  <w:style w:type="paragraph" w:styleId="BalloonText">
    <w:name w:val="Balloon Text"/>
    <w:basedOn w:val="Normal"/>
    <w:link w:val="BalloonTextChar"/>
    <w:rsid w:val="00722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C4B"/>
    <w:pPr>
      <w:spacing w:before="0" w:after="0"/>
    </w:pPr>
  </w:style>
  <w:style w:type="paragraph" w:customStyle="1" w:styleId="BodyTextBold">
    <w:name w:val="Body Text Bold"/>
    <w:basedOn w:val="BodyText"/>
    <w:qFormat/>
    <w:rsid w:val="00722C4B"/>
    <w:rPr>
      <w:b/>
    </w:rPr>
  </w:style>
  <w:style w:type="character" w:styleId="Hyperlink">
    <w:name w:val="Hyperlink"/>
    <w:basedOn w:val="DefaultParagraphFont"/>
    <w:uiPriority w:val="99"/>
    <w:unhideWhenUsed/>
    <w:rsid w:val="009C7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3481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FNSFLT515 Facilitate knowledge of superannuation as an investment tool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