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AAF" w:rsidP="00186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FNSFLT513 Promote basic financial literacy in clients</w:t>
      </w:r>
      <w:r>
        <w:fldChar w:fldCharType="end"/>
      </w:r>
    </w:p>
    <w:p w:rsidR="00186AAF" w:rsidP="00186AAF">
      <w:pPr>
        <w:pStyle w:val="Version"/>
        <w:sectPr w:rsidSect="00723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2F4" w:rsidP="007232F4">
      <w:pPr>
        <w:pStyle w:val="SuperHeading"/>
      </w:pPr>
      <w:r w:rsidRPr="007232F4">
        <w:t>Assessment Requirements for FNSFLT513 Promote basic financial literacy in clients</w:t>
      </w:r>
    </w:p>
    <w:p w:rsidR="00000000" w:rsidRPr="007232F4" w:rsidP="007232F4">
      <w:pPr>
        <w:pStyle w:val="Heading1"/>
      </w:pPr>
      <w:bookmarkStart w:id="1" w:name="O_1158178"/>
      <w:bookmarkEnd w:id="1"/>
      <w:r w:rsidRPr="007232F4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232F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F4" w:rsidP="007232F4">
            <w:pPr>
              <w:pStyle w:val="BodyText"/>
            </w:pPr>
            <w:r w:rsidRPr="007232F4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F4">
            <w:pPr>
              <w:pStyle w:val="BodyText"/>
              <w:rPr>
                <w:lang w:val="en-NZ"/>
              </w:rPr>
            </w:pPr>
            <w:r w:rsidRPr="007232F4">
              <w:rPr>
                <w:rStyle w:val="SpecialBold"/>
              </w:rPr>
              <w:t>Comments</w:t>
            </w:r>
          </w:p>
        </w:tc>
      </w:tr>
      <w:tr w:rsidTr="007232F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F4">
            <w:pPr>
              <w:pStyle w:val="BodyText"/>
              <w:rPr>
                <w:lang w:val="en-NZ"/>
              </w:rPr>
            </w:pPr>
            <w:r w:rsidRPr="007232F4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F4" w:rsidP="007232F4">
            <w:pPr>
              <w:pStyle w:val="BodyText"/>
            </w:pPr>
            <w:r w:rsidRPr="007232F4">
              <w:t>This version first released with FNS Financial Services Training Package Version 6.0.</w:t>
            </w:r>
          </w:p>
        </w:tc>
      </w:tr>
    </w:tbl>
    <w:p w:rsidR="00000000" w:rsidRPr="007232F4" w:rsidP="007232F4">
      <w:pPr>
        <w:pStyle w:val="BodyText"/>
      </w:pPr>
    </w:p>
    <w:p w:rsidR="00000000" w:rsidRPr="007232F4" w:rsidP="007232F4">
      <w:pPr>
        <w:pStyle w:val="AllowPageBreak"/>
      </w:pPr>
    </w:p>
    <w:p w:rsidR="00000000" w:rsidRPr="007232F4" w:rsidP="007232F4">
      <w:pPr>
        <w:pStyle w:val="Heading1"/>
      </w:pPr>
      <w:bookmarkStart w:id="2" w:name="O_1158181"/>
      <w:bookmarkEnd w:id="2"/>
      <w:r w:rsidRPr="007232F4">
        <w:t>Performance Evidence</w:t>
      </w:r>
    </w:p>
    <w:p w:rsidR="00000000" w:rsidRPr="007232F4" w:rsidP="00186AAF">
      <w:pPr>
        <w:pStyle w:val="BodyText"/>
      </w:pPr>
      <w:r w:rsidRPr="007232F4">
        <w:t>The candidate must demonstrate the ability to complete the tasks outlined in the elements, performance criteria and foundation skills of this unit, including evidence of the ability to:</w:t>
      </w:r>
    </w:p>
    <w:p w:rsidR="00000000" w:rsidRPr="007232F4" w:rsidP="007232F4">
      <w:pPr>
        <w:pStyle w:val="ListBullet"/>
      </w:pPr>
      <w:r w:rsidRPr="007232F4">
        <w:t>promote basic financial literacy skills</w:t>
      </w:r>
      <w:r w:rsidRPr="007232F4">
        <w:t xml:space="preserve"> in at least three clients.</w:t>
      </w:r>
    </w:p>
    <w:p w:rsidR="00000000" w:rsidRPr="007232F4" w:rsidP="007232F4">
      <w:pPr>
        <w:pStyle w:val="List"/>
      </w:pPr>
    </w:p>
    <w:p w:rsidR="00000000" w:rsidRPr="007232F4" w:rsidP="00186AAF">
      <w:pPr>
        <w:pStyle w:val="BodyText"/>
      </w:pPr>
      <w:r w:rsidRPr="007232F4">
        <w:t>In the course of the above, the candidate must:</w:t>
      </w:r>
    </w:p>
    <w:p w:rsidR="00000000" w:rsidRPr="007232F4" w:rsidP="007232F4">
      <w:pPr>
        <w:pStyle w:val="ListBullet"/>
      </w:pPr>
      <w:r w:rsidRPr="007232F4">
        <w:t>address client queries and concerns.</w:t>
      </w:r>
    </w:p>
    <w:p w:rsidR="00000000" w:rsidRPr="007232F4" w:rsidP="007232F4">
      <w:pPr>
        <w:pStyle w:val="AllowPageBreak"/>
      </w:pPr>
    </w:p>
    <w:p w:rsidR="00000000" w:rsidRPr="007232F4" w:rsidP="007232F4">
      <w:pPr>
        <w:pStyle w:val="Heading1"/>
      </w:pPr>
      <w:bookmarkStart w:id="3" w:name="O_1158180"/>
      <w:bookmarkEnd w:id="3"/>
      <w:r w:rsidRPr="007232F4">
        <w:t>Knowledge Evidence</w:t>
      </w:r>
    </w:p>
    <w:p w:rsidR="00000000" w:rsidRPr="007232F4" w:rsidP="00186AAF">
      <w:pPr>
        <w:pStyle w:val="BodyText"/>
      </w:pPr>
      <w:r w:rsidRPr="007232F4">
        <w:t>The candidate must be able to demonstrate knowledge to complete the tasks outlined in the elements, performance criteria and foundation skills of this unit, including knowledge of:</w:t>
      </w:r>
    </w:p>
    <w:p w:rsidR="00000000" w:rsidRPr="007232F4" w:rsidP="007232F4">
      <w:pPr>
        <w:pStyle w:val="ListBullet"/>
      </w:pPr>
      <w:r w:rsidRPr="007232F4">
        <w:t>key features of the Australian financial system, including:</w:t>
      </w:r>
    </w:p>
    <w:p w:rsidR="00000000" w:rsidRPr="007232F4" w:rsidP="007232F4">
      <w:pPr>
        <w:pStyle w:val="ListBullet2"/>
      </w:pPr>
      <w:r w:rsidRPr="007232F4">
        <w:t>role of finan</w:t>
      </w:r>
      <w:r w:rsidRPr="007232F4">
        <w:t>cial institutions in the economy</w:t>
      </w:r>
    </w:p>
    <w:p w:rsidR="00000000" w:rsidRPr="007232F4" w:rsidP="007232F4">
      <w:pPr>
        <w:pStyle w:val="ListBullet2"/>
      </w:pPr>
      <w:r w:rsidRPr="007232F4">
        <w:t>definition and role of money and how it is exchanged</w:t>
      </w:r>
    </w:p>
    <w:p w:rsidR="00000000" w:rsidRPr="007232F4" w:rsidP="007232F4">
      <w:pPr>
        <w:pStyle w:val="ListBullet"/>
      </w:pPr>
      <w:r w:rsidRPr="007232F4">
        <w:t>key aspects of clients’ financial situations required to determine areas of concern</w:t>
      </w:r>
    </w:p>
    <w:p w:rsidR="00000000" w:rsidRPr="007232F4" w:rsidP="007232F4">
      <w:pPr>
        <w:pStyle w:val="ListBullet"/>
      </w:pPr>
      <w:r w:rsidRPr="007232F4">
        <w:t>options for purchasing goods and services</w:t>
      </w:r>
    </w:p>
    <w:p w:rsidR="00000000" w:rsidRPr="007232F4" w:rsidP="007232F4">
      <w:pPr>
        <w:pStyle w:val="ListBullet"/>
      </w:pPr>
      <w:r w:rsidRPr="007232F4">
        <w:t>advantages and disadvantages of options for</w:t>
      </w:r>
      <w:r w:rsidRPr="007232F4">
        <w:t xml:space="preserve"> purchasing goods and services</w:t>
      </w:r>
    </w:p>
    <w:p w:rsidR="00000000" w:rsidRPr="007232F4" w:rsidP="007232F4">
      <w:pPr>
        <w:pStyle w:val="ListBullet"/>
      </w:pPr>
      <w:r w:rsidRPr="007232F4">
        <w:t>options and required means for clients to open and operate a bank account</w:t>
      </w:r>
    </w:p>
    <w:p w:rsidR="00000000" w:rsidRPr="007232F4" w:rsidP="007232F4">
      <w:pPr>
        <w:pStyle w:val="ListBullet"/>
      </w:pPr>
      <w:r w:rsidRPr="007232F4">
        <w:t>account options available for holding and saving money</w:t>
      </w:r>
    </w:p>
    <w:p w:rsidR="00000000" w:rsidRPr="007232F4" w:rsidP="007232F4">
      <w:pPr>
        <w:pStyle w:val="ListBullet"/>
      </w:pPr>
      <w:r w:rsidRPr="007232F4">
        <w:t>advantages and disadvantages of account options available for holding and saving money</w:t>
      </w:r>
    </w:p>
    <w:p w:rsidR="00000000" w:rsidRPr="007232F4" w:rsidP="007232F4">
      <w:pPr>
        <w:pStyle w:val="ListBullet"/>
      </w:pPr>
      <w:r w:rsidRPr="007232F4">
        <w:t>methods of accessing funds</w:t>
      </w:r>
    </w:p>
    <w:p w:rsidR="00000000" w:rsidRPr="007232F4" w:rsidP="007232F4">
      <w:pPr>
        <w:pStyle w:val="ListBullet"/>
      </w:pPr>
      <w:r w:rsidRPr="007232F4">
        <w:t>key benefits and methods of developing a savings plan and strategy</w:t>
      </w:r>
    </w:p>
    <w:p w:rsidR="00000000" w:rsidRPr="007232F4" w:rsidP="007232F4">
      <w:pPr>
        <w:pStyle w:val="ListBullet"/>
      </w:pPr>
      <w:r w:rsidRPr="007232F4">
        <w:t>role of budgeting in client financial literacy, including methods of compiling and implementing a budget</w:t>
      </w:r>
    </w:p>
    <w:p w:rsidR="00000000" w:rsidRPr="007232F4" w:rsidP="007232F4">
      <w:pPr>
        <w:pStyle w:val="ListBullet"/>
      </w:pPr>
      <w:r w:rsidRPr="007232F4">
        <w:t>key aspects of the relationship between risk and return</w:t>
      </w:r>
    </w:p>
    <w:p w:rsidR="00000000" w:rsidRPr="007232F4" w:rsidP="007232F4">
      <w:pPr>
        <w:pStyle w:val="ListBullet"/>
      </w:pPr>
      <w:r w:rsidRPr="007232F4">
        <w:t>k</w:t>
      </w:r>
      <w:r w:rsidRPr="007232F4">
        <w:t>ey techniques for evaluating financial products and their associated risks in relation to a client’s situation</w:t>
      </w:r>
    </w:p>
    <w:p w:rsidR="00000000" w:rsidRPr="007232F4" w:rsidP="007232F4">
      <w:pPr>
        <w:pStyle w:val="ListBullet"/>
      </w:pPr>
      <w:r w:rsidRPr="007232F4">
        <w:t>key features of different types of insurance</w:t>
      </w:r>
    </w:p>
    <w:p w:rsidR="00000000" w:rsidRPr="007232F4" w:rsidP="007232F4">
      <w:pPr>
        <w:pStyle w:val="ListBullet"/>
      </w:pPr>
      <w:r w:rsidRPr="007232F4">
        <w:t>key aspects of the role of superannuation and retirement planning in client financial literacy, incl</w:t>
      </w:r>
      <w:r w:rsidRPr="007232F4">
        <w:t>uding potential for superannuation coverage of life and permanent disability insurance</w:t>
      </w:r>
    </w:p>
    <w:p w:rsidR="00000000" w:rsidRPr="007232F4" w:rsidP="007232F4">
      <w:pPr>
        <w:pStyle w:val="ListBullet"/>
      </w:pPr>
      <w:r w:rsidRPr="007232F4">
        <w:t>methods by which clients can provide for and address their own future requirements</w:t>
      </w:r>
    </w:p>
    <w:p w:rsidR="00000000" w:rsidRPr="007232F4" w:rsidP="007232F4">
      <w:pPr>
        <w:pStyle w:val="ListBullet"/>
      </w:pPr>
      <w:r w:rsidRPr="007232F4">
        <w:t>key requirements of relevant industry codes of practice and legislation relating to pr</w:t>
      </w:r>
      <w:r w:rsidRPr="007232F4">
        <w:t>ivacy, consumer credit and protection, and debt recovery</w:t>
      </w:r>
    </w:p>
    <w:p w:rsidR="00000000" w:rsidRPr="007232F4" w:rsidP="007232F4">
      <w:pPr>
        <w:pStyle w:val="ListBullet"/>
      </w:pPr>
      <w:r w:rsidRPr="007232F4">
        <w:t>roles and relationships between key participants in the Australian financial services industry, including banks and other financial intermediaries</w:t>
      </w:r>
    </w:p>
    <w:p w:rsidR="00000000" w:rsidRPr="007232F4" w:rsidP="007232F4">
      <w:pPr>
        <w:pStyle w:val="ListBullet"/>
      </w:pPr>
      <w:r w:rsidRPr="007232F4">
        <w:t>techniques to build financial literacy skills of peo</w:t>
      </w:r>
      <w:r w:rsidRPr="007232F4">
        <w:t>ple.</w:t>
      </w:r>
    </w:p>
    <w:p w:rsidR="00000000" w:rsidRPr="007232F4" w:rsidP="007232F4">
      <w:pPr>
        <w:pStyle w:val="AllowPageBreak"/>
      </w:pPr>
    </w:p>
    <w:p w:rsidR="00000000" w:rsidRPr="007232F4" w:rsidP="007232F4">
      <w:pPr>
        <w:pStyle w:val="Heading1"/>
      </w:pPr>
      <w:bookmarkStart w:id="4" w:name="O_1158179"/>
      <w:bookmarkEnd w:id="4"/>
      <w:r w:rsidRPr="007232F4">
        <w:t>Assessment Conditions</w:t>
      </w:r>
    </w:p>
    <w:p w:rsidR="00000000" w:rsidRPr="007232F4" w:rsidP="00186AAF">
      <w:pPr>
        <w:pStyle w:val="BodyText"/>
      </w:pPr>
      <w:r w:rsidRPr="007232F4">
        <w:t xml:space="preserve">Skills in this unit must be demonstrated in a workplace or simulated environment where the conditions are typical of those in a working environment in this industry. </w:t>
      </w:r>
    </w:p>
    <w:p w:rsidR="00000000" w:rsidRPr="007232F4" w:rsidP="00186AAF">
      <w:pPr>
        <w:pStyle w:val="BodyText"/>
      </w:pPr>
      <w:r w:rsidRPr="007232F4">
        <w:t>This includes access to:</w:t>
      </w:r>
    </w:p>
    <w:p w:rsidR="00000000" w:rsidRPr="007232F4" w:rsidP="007232F4">
      <w:pPr>
        <w:pStyle w:val="ListBullet"/>
      </w:pPr>
      <w:r w:rsidRPr="007232F4">
        <w:t>office equipment,</w:t>
      </w:r>
      <w:r w:rsidRPr="007232F4">
        <w:t xml:space="preserve"> technology, software and consumables</w:t>
      </w:r>
    </w:p>
    <w:p w:rsidR="00000000" w:rsidRPr="007232F4" w:rsidP="007232F4">
      <w:pPr>
        <w:pStyle w:val="ListBullet"/>
      </w:pPr>
      <w:r w:rsidRPr="007232F4">
        <w:t>financial services product information</w:t>
      </w:r>
    </w:p>
    <w:p w:rsidR="00000000" w:rsidRPr="007232F4" w:rsidP="007232F4">
      <w:pPr>
        <w:pStyle w:val="ListBullet"/>
      </w:pPr>
      <w:r w:rsidRPr="007232F4">
        <w:t>client with limited understanding of financial systems and the use and management of money.</w:t>
      </w:r>
    </w:p>
    <w:p w:rsidR="00000000" w:rsidRPr="007232F4" w:rsidP="007232F4">
      <w:pPr>
        <w:pStyle w:val="List"/>
      </w:pPr>
    </w:p>
    <w:p w:rsidR="00000000" w:rsidRPr="007232F4" w:rsidP="00186AAF">
      <w:pPr>
        <w:pStyle w:val="BodyText"/>
      </w:pPr>
      <w:r w:rsidRPr="007232F4">
        <w:t>Assessors of this unit must satisfy the requirements for assessors in applicable vocational education and training legislation, frameworks and/or standards.</w:t>
      </w:r>
    </w:p>
    <w:p w:rsidR="00000000" w:rsidRPr="007232F4" w:rsidP="007232F4">
      <w:pPr>
        <w:pStyle w:val="Heading1"/>
      </w:pPr>
      <w:bookmarkStart w:id="5" w:name="O_1158177"/>
      <w:bookmarkEnd w:id="5"/>
      <w:r w:rsidRPr="007232F4">
        <w:t>Links</w:t>
      </w:r>
    </w:p>
    <w:p w:rsidR="00000000" w:rsidRPr="007232F4" w:rsidP="00186AAF">
      <w:pPr>
        <w:pStyle w:val="BodyText"/>
      </w:pPr>
      <w:r w:rsidRPr="007232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003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32F4" w:rsidP="007232F4"/>
    <w:sectPr w:rsidSect="007232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F4" w:rsidRPr="00186AAF" w:rsidP="00186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AF" w:rsidP="00723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AAF" w:rsidP="00723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6AAF" w:rsidP="00723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2F4" w:rsidRPr="00186AAF" w:rsidP="00186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AF" w:rsidRPr="002D2AF8" w:rsidP="00723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FNSFLT513 Promote basic financial literacy in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86AAF" w:rsidP="00723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08A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A03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82A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2F4"/>
  </w:style>
  <w:style w:type="character" w:customStyle="1" w:styleId="Heading1Char">
    <w:name w:val="Heading 1 Char"/>
    <w:basedOn w:val="DefaultParagraphFont"/>
    <w:link w:val="Heading1"/>
    <w:rsid w:val="00723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2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32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32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2F4"/>
    <w:rPr>
      <w:b/>
      <w:spacing w:val="0"/>
    </w:rPr>
  </w:style>
  <w:style w:type="paragraph" w:styleId="ListBullet2">
    <w:name w:val="List Bullet 2"/>
    <w:basedOn w:val="List2"/>
    <w:rsid w:val="007232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2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3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2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2F4"/>
    <w:rPr>
      <w:i/>
    </w:rPr>
  </w:style>
  <w:style w:type="paragraph" w:styleId="Caption">
    <w:name w:val="caption"/>
    <w:basedOn w:val="BodyText"/>
    <w:next w:val="Normal"/>
    <w:qFormat/>
    <w:rsid w:val="00723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2F4"/>
  </w:style>
  <w:style w:type="paragraph" w:styleId="TableofFigures">
    <w:name w:val="table of figures"/>
    <w:basedOn w:val="Normal"/>
    <w:next w:val="Normal"/>
    <w:semiHidden/>
    <w:rsid w:val="00723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2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2F4"/>
    <w:rPr>
      <w:rFonts w:ascii="Wingdings" w:hAnsi="Wingdings"/>
    </w:rPr>
  </w:style>
  <w:style w:type="paragraph" w:customStyle="1" w:styleId="TableHeading">
    <w:name w:val="Table Heading"/>
    <w:basedOn w:val="HeadingBase"/>
    <w:rsid w:val="00723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2F4"/>
    <w:rPr>
      <w:color w:val="0033CC"/>
      <w:u w:val="none"/>
    </w:rPr>
  </w:style>
  <w:style w:type="paragraph" w:customStyle="1" w:styleId="BodyTextRight">
    <w:name w:val="Body Text Right"/>
    <w:basedOn w:val="BodyText"/>
    <w:rsid w:val="00723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2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2F4"/>
    <w:rPr>
      <w:sz w:val="32"/>
    </w:rPr>
  </w:style>
  <w:style w:type="paragraph" w:customStyle="1" w:styleId="HeadingProcedure">
    <w:name w:val="Heading Procedure"/>
    <w:basedOn w:val="HeadingBase"/>
    <w:next w:val="Normal"/>
    <w:rsid w:val="00723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2F4"/>
    <w:pPr>
      <w:spacing w:before="60" w:after="60"/>
    </w:pPr>
  </w:style>
  <w:style w:type="paragraph" w:styleId="ListContinue">
    <w:name w:val="List Continue"/>
    <w:basedOn w:val="List"/>
    <w:rsid w:val="007232F4"/>
    <w:pPr>
      <w:ind w:firstLine="0"/>
    </w:pPr>
  </w:style>
  <w:style w:type="paragraph" w:customStyle="1" w:styleId="ListNote">
    <w:name w:val="List Note"/>
    <w:basedOn w:val="List"/>
    <w:rsid w:val="00723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2F4"/>
    <w:rPr>
      <w:rFonts w:ascii="Courier New" w:hAnsi="Courier New"/>
    </w:rPr>
  </w:style>
  <w:style w:type="paragraph" w:customStyle="1" w:styleId="NoteBullet">
    <w:name w:val="Note Bullet"/>
    <w:basedOn w:val="Note"/>
    <w:rsid w:val="00723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2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2F4"/>
    <w:rPr>
      <w:b/>
      <w:smallCaps/>
    </w:rPr>
  </w:style>
  <w:style w:type="paragraph" w:customStyle="1" w:styleId="TableListNumber">
    <w:name w:val="Table List Number"/>
    <w:basedOn w:val="ListNumber"/>
    <w:rsid w:val="00723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2F4"/>
    <w:pPr>
      <w:numPr>
        <w:numId w:val="9"/>
      </w:numPr>
    </w:pPr>
  </w:style>
  <w:style w:type="paragraph" w:customStyle="1" w:styleId="ListAlpha2">
    <w:name w:val="List Alpha 2"/>
    <w:basedOn w:val="List2"/>
    <w:rsid w:val="007232F4"/>
    <w:pPr>
      <w:numPr>
        <w:numId w:val="8"/>
      </w:numPr>
    </w:pPr>
  </w:style>
  <w:style w:type="paragraph" w:styleId="List2">
    <w:name w:val="List 2"/>
    <w:basedOn w:val="BodyText"/>
    <w:rsid w:val="00723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2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2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2F4"/>
    <w:pPr>
      <w:numPr>
        <w:numId w:val="4"/>
      </w:numPr>
    </w:pPr>
  </w:style>
  <w:style w:type="paragraph" w:styleId="ListContinue2">
    <w:name w:val="List Continue 2"/>
    <w:basedOn w:val="List2"/>
    <w:rsid w:val="007232F4"/>
    <w:pPr>
      <w:ind w:firstLine="0"/>
    </w:pPr>
  </w:style>
  <w:style w:type="paragraph" w:styleId="ListContinue3">
    <w:name w:val="List Continue 3"/>
    <w:basedOn w:val="List3"/>
    <w:rsid w:val="007232F4"/>
    <w:pPr>
      <w:ind w:left="1021" w:firstLine="0"/>
    </w:pPr>
  </w:style>
  <w:style w:type="paragraph" w:styleId="ListContinue4">
    <w:name w:val="List Continue 4"/>
    <w:basedOn w:val="List4"/>
    <w:rsid w:val="007232F4"/>
    <w:pPr>
      <w:ind w:firstLine="0"/>
    </w:pPr>
  </w:style>
  <w:style w:type="paragraph" w:styleId="ListContinue5">
    <w:name w:val="List Continue 5"/>
    <w:basedOn w:val="List5"/>
    <w:rsid w:val="007232F4"/>
    <w:pPr>
      <w:ind w:firstLine="0"/>
    </w:pPr>
  </w:style>
  <w:style w:type="paragraph" w:styleId="ListNumber3">
    <w:name w:val="List Number 3"/>
    <w:basedOn w:val="List3"/>
    <w:rsid w:val="007232F4"/>
    <w:pPr>
      <w:numPr>
        <w:numId w:val="5"/>
      </w:numPr>
    </w:pPr>
  </w:style>
  <w:style w:type="paragraph" w:styleId="ListNumber4">
    <w:name w:val="List Number 4"/>
    <w:basedOn w:val="List4"/>
    <w:rsid w:val="007232F4"/>
    <w:pPr>
      <w:numPr>
        <w:numId w:val="6"/>
      </w:numPr>
    </w:pPr>
  </w:style>
  <w:style w:type="paragraph" w:styleId="ListNumber5">
    <w:name w:val="List Number 5"/>
    <w:basedOn w:val="List5"/>
    <w:rsid w:val="007232F4"/>
    <w:pPr>
      <w:numPr>
        <w:numId w:val="7"/>
      </w:numPr>
    </w:pPr>
  </w:style>
  <w:style w:type="paragraph" w:styleId="BlockText">
    <w:name w:val="Block Text"/>
    <w:basedOn w:val="Normal"/>
    <w:rsid w:val="00723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2F4"/>
    <w:rPr>
      <w:sz w:val="16"/>
      <w:vertAlign w:val="superscript"/>
    </w:rPr>
  </w:style>
  <w:style w:type="character" w:customStyle="1" w:styleId="Symbols">
    <w:name w:val="Symbols"/>
    <w:basedOn w:val="DefaultParagraphFont"/>
    <w:rsid w:val="007232F4"/>
    <w:rPr>
      <w:rFonts w:ascii="Symbol" w:hAnsi="Symbol"/>
    </w:rPr>
  </w:style>
  <w:style w:type="character" w:customStyle="1" w:styleId="MenuOptions">
    <w:name w:val="Menu Options"/>
    <w:basedOn w:val="DefaultParagraphFont"/>
    <w:rsid w:val="00723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2F4"/>
    <w:rPr>
      <w:b/>
    </w:rPr>
  </w:style>
  <w:style w:type="character" w:customStyle="1" w:styleId="Underlined">
    <w:name w:val="Underlined"/>
    <w:basedOn w:val="DefaultParagraphFont"/>
    <w:rsid w:val="007232F4"/>
    <w:rPr>
      <w:u w:val="single"/>
    </w:rPr>
  </w:style>
  <w:style w:type="paragraph" w:customStyle="1" w:styleId="TableBodyTextRight">
    <w:name w:val="Table Body Text Right"/>
    <w:basedOn w:val="TableBodyText"/>
    <w:rsid w:val="00723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2F4"/>
    <w:rPr>
      <w:sz w:val="18"/>
    </w:rPr>
  </w:style>
  <w:style w:type="paragraph" w:customStyle="1" w:styleId="BodySmallRight">
    <w:name w:val="Body Small Right"/>
    <w:basedOn w:val="BodyTextRight"/>
    <w:rsid w:val="007232F4"/>
    <w:rPr>
      <w:sz w:val="18"/>
      <w:szCs w:val="18"/>
    </w:rPr>
  </w:style>
  <w:style w:type="paragraph" w:customStyle="1" w:styleId="MarginEdition">
    <w:name w:val="Margin Edition"/>
    <w:basedOn w:val="MarginNote"/>
    <w:rsid w:val="00723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2F4"/>
    <w:rPr>
      <w:sz w:val="2"/>
      <w:szCs w:val="2"/>
    </w:rPr>
  </w:style>
  <w:style w:type="character" w:customStyle="1" w:styleId="Small">
    <w:name w:val="Small"/>
    <w:basedOn w:val="DefaultParagraphFont"/>
    <w:rsid w:val="007232F4"/>
    <w:rPr>
      <w:sz w:val="16"/>
    </w:rPr>
  </w:style>
  <w:style w:type="paragraph" w:customStyle="1" w:styleId="WideTable">
    <w:name w:val="Wide Table"/>
    <w:basedOn w:val="Normal"/>
    <w:rsid w:val="00723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2F4"/>
  </w:style>
  <w:style w:type="paragraph" w:styleId="Quote">
    <w:name w:val="Quote"/>
    <w:basedOn w:val="Heading1"/>
    <w:link w:val="QuoteChar"/>
    <w:qFormat/>
    <w:rsid w:val="00723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2F4"/>
    <w:pPr>
      <w:pageBreakBefore/>
    </w:pPr>
  </w:style>
  <w:style w:type="paragraph" w:customStyle="1" w:styleId="Border">
    <w:name w:val="Border"/>
    <w:basedOn w:val="Normal"/>
    <w:qFormat/>
    <w:rsid w:val="00723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2F4"/>
    <w:rPr>
      <w:u w:val="single"/>
    </w:rPr>
  </w:style>
  <w:style w:type="character" w:customStyle="1" w:styleId="BoldandItalics">
    <w:name w:val="Bold and Italics"/>
    <w:qFormat/>
    <w:rsid w:val="007232F4"/>
    <w:rPr>
      <w:b/>
      <w:i/>
      <w:u w:val="none"/>
    </w:rPr>
  </w:style>
  <w:style w:type="paragraph" w:styleId="BalloonText">
    <w:name w:val="Balloon Text"/>
    <w:basedOn w:val="Normal"/>
    <w:link w:val="BalloonTextChar"/>
    <w:rsid w:val="00723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2F4"/>
    <w:pPr>
      <w:spacing w:before="0" w:after="0"/>
    </w:pPr>
  </w:style>
  <w:style w:type="paragraph" w:customStyle="1" w:styleId="BodyTextBold">
    <w:name w:val="Body Text Bold"/>
    <w:basedOn w:val="BodyText"/>
    <w:qFormat/>
    <w:rsid w:val="007232F4"/>
    <w:rPr>
      <w:b/>
    </w:rPr>
  </w:style>
  <w:style w:type="character" w:styleId="Hyperlink">
    <w:name w:val="Hyperlink"/>
    <w:basedOn w:val="DefaultParagraphFont"/>
    <w:uiPriority w:val="99"/>
    <w:unhideWhenUsed/>
    <w:rsid w:val="00186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2894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FNSFLT513 Promote basic financial literacy in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