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DDE" w:rsidP="00597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FNSFLT311 Develop and apply knowledge of personal finances</w:t>
      </w:r>
      <w:r>
        <w:fldChar w:fldCharType="end"/>
      </w:r>
    </w:p>
    <w:p w:rsidR="00597DDE" w:rsidP="00597DDE">
      <w:pPr>
        <w:pStyle w:val="Version"/>
        <w:sectPr w:rsidSect="00435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B51" w:rsidP="00435B51">
      <w:pPr>
        <w:pStyle w:val="SuperHeading"/>
      </w:pPr>
      <w:r w:rsidRPr="00435B51">
        <w:t>Assessment Requirements for FNSFLT311 Develop and apply knowledge of personal finances</w:t>
      </w:r>
    </w:p>
    <w:p w:rsidR="00000000" w:rsidRPr="00435B51" w:rsidP="00435B51">
      <w:pPr>
        <w:pStyle w:val="Heading1"/>
      </w:pPr>
      <w:bookmarkStart w:id="1" w:name="O_1157022"/>
      <w:bookmarkEnd w:id="1"/>
      <w:r w:rsidRPr="00435B5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35B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B51" w:rsidP="00435B51">
            <w:pPr>
              <w:pStyle w:val="BodyText"/>
            </w:pPr>
            <w:r w:rsidRPr="00435B5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B51">
            <w:pPr>
              <w:pStyle w:val="BodyText"/>
              <w:rPr>
                <w:lang w:val="en-NZ"/>
              </w:rPr>
            </w:pPr>
            <w:r w:rsidRPr="00435B51">
              <w:rPr>
                <w:rStyle w:val="SpecialBold"/>
              </w:rPr>
              <w:t>Comments</w:t>
            </w:r>
          </w:p>
        </w:tc>
      </w:tr>
      <w:tr w:rsidTr="00435B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B51">
            <w:pPr>
              <w:pStyle w:val="BodyText"/>
              <w:rPr>
                <w:lang w:val="en-NZ"/>
              </w:rPr>
            </w:pPr>
            <w:r w:rsidRPr="00435B5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B51" w:rsidP="00435B51">
            <w:pPr>
              <w:pStyle w:val="BodyText"/>
            </w:pPr>
            <w:r w:rsidRPr="00435B51">
              <w:t>This version first released with FNS Financial Services Training Package Version 6.0.</w:t>
            </w:r>
          </w:p>
        </w:tc>
      </w:tr>
    </w:tbl>
    <w:p w:rsidR="00000000" w:rsidRPr="00435B51" w:rsidP="00435B51">
      <w:pPr>
        <w:pStyle w:val="BodyText"/>
      </w:pPr>
    </w:p>
    <w:p w:rsidR="00000000" w:rsidRPr="00435B51" w:rsidP="00435B51">
      <w:pPr>
        <w:pStyle w:val="AllowPageBreak"/>
      </w:pPr>
    </w:p>
    <w:p w:rsidR="00000000" w:rsidRPr="00435B51" w:rsidP="00435B51">
      <w:pPr>
        <w:pStyle w:val="Heading1"/>
      </w:pPr>
      <w:bookmarkStart w:id="2" w:name="O_1157025"/>
      <w:bookmarkEnd w:id="2"/>
      <w:r w:rsidRPr="00435B51">
        <w:t>Performance Evidence</w:t>
      </w:r>
    </w:p>
    <w:p w:rsidR="00000000" w:rsidRPr="00435B51" w:rsidP="00597DDE">
      <w:pPr>
        <w:pStyle w:val="BodyText"/>
      </w:pPr>
      <w:r w:rsidRPr="00435B51">
        <w:t>The candidate must demonstrate the ability to complete the tasks outlined in the elements, performance criteria and foundation skills of this unit, including evidence of the ability to:</w:t>
      </w:r>
    </w:p>
    <w:p w:rsidR="00000000" w:rsidRPr="00435B51" w:rsidP="00435B51">
      <w:pPr>
        <w:pStyle w:val="ListBullet"/>
      </w:pPr>
      <w:r w:rsidRPr="00435B51">
        <w:t>present overview of factors that impact</w:t>
      </w:r>
      <w:r w:rsidRPr="00435B51">
        <w:t xml:space="preserve"> personal finances on at least two occasions.</w:t>
      </w:r>
    </w:p>
    <w:p w:rsidR="00000000" w:rsidRPr="00435B51" w:rsidP="00435B51">
      <w:pPr>
        <w:pStyle w:val="List"/>
      </w:pPr>
    </w:p>
    <w:p w:rsidR="00000000" w:rsidRPr="00435B51" w:rsidP="00597DDE">
      <w:pPr>
        <w:pStyle w:val="BodyText"/>
      </w:pPr>
      <w:r w:rsidRPr="00435B51">
        <w:t>In the course of the above, the candidate must:</w:t>
      </w:r>
    </w:p>
    <w:p w:rsidR="00000000" w:rsidRPr="00435B51" w:rsidP="00435B51">
      <w:pPr>
        <w:pStyle w:val="ListBullet"/>
      </w:pPr>
      <w:r w:rsidRPr="00435B51">
        <w:t>set own personal financial goals</w:t>
      </w:r>
    </w:p>
    <w:p w:rsidR="00000000" w:rsidRPr="00435B51" w:rsidP="00435B51">
      <w:pPr>
        <w:pStyle w:val="ListBullet"/>
      </w:pPr>
      <w:r w:rsidRPr="00435B51">
        <w:t>access opportunities for mentoring and advice on personal finances.</w:t>
      </w:r>
    </w:p>
    <w:p w:rsidR="00000000" w:rsidRPr="00435B51" w:rsidP="00435B51">
      <w:pPr>
        <w:pStyle w:val="AllowPageBreak"/>
      </w:pPr>
    </w:p>
    <w:p w:rsidR="00000000" w:rsidRPr="00435B51" w:rsidP="00435B51">
      <w:pPr>
        <w:pStyle w:val="Heading1"/>
      </w:pPr>
      <w:bookmarkStart w:id="3" w:name="O_1157024"/>
      <w:bookmarkEnd w:id="3"/>
      <w:r w:rsidRPr="00435B51">
        <w:t>Knowledge Evidence</w:t>
      </w:r>
    </w:p>
    <w:p w:rsidR="00000000" w:rsidRPr="00435B51" w:rsidP="00597DDE">
      <w:pPr>
        <w:pStyle w:val="BodyText"/>
      </w:pPr>
      <w:r w:rsidRPr="00435B51">
        <w:t>The candidate must be able to demonstrate knowledge to complete the tasks outlined in the elements, performance criteria and foundation skills of this unit, including knowledge of:</w:t>
      </w:r>
    </w:p>
    <w:p w:rsidR="00000000" w:rsidRPr="00435B51" w:rsidP="00435B51">
      <w:pPr>
        <w:pStyle w:val="ListBullet"/>
      </w:pPr>
      <w:r w:rsidRPr="00435B51">
        <w:t>key aspects of debt management relating to personal finances</w:t>
      </w:r>
    </w:p>
    <w:p w:rsidR="00000000" w:rsidRPr="00435B51" w:rsidP="00435B51">
      <w:pPr>
        <w:pStyle w:val="ListBullet"/>
      </w:pPr>
      <w:r w:rsidRPr="00435B51">
        <w:t>common effect</w:t>
      </w:r>
      <w:r w:rsidRPr="00435B51">
        <w:t>s of career choices, education and skill on income and goal attainment</w:t>
      </w:r>
    </w:p>
    <w:p w:rsidR="00000000" w:rsidRPr="00435B51" w:rsidP="00435B51">
      <w:pPr>
        <w:pStyle w:val="ListBullet"/>
      </w:pPr>
      <w:r w:rsidRPr="00435B51">
        <w:t>methods to identify pay rates</w:t>
      </w:r>
    </w:p>
    <w:p w:rsidR="00000000" w:rsidRPr="00435B51" w:rsidP="00435B51">
      <w:pPr>
        <w:pStyle w:val="ListBullet"/>
      </w:pPr>
      <w:r w:rsidRPr="00435B51">
        <w:t>methods to establish and maintain a good credit history</w:t>
      </w:r>
    </w:p>
    <w:p w:rsidR="00000000" w:rsidRPr="00435B51" w:rsidP="00435B51">
      <w:pPr>
        <w:pStyle w:val="ListBullet"/>
      </w:pPr>
      <w:r w:rsidRPr="00435B51">
        <w:t>key methods and benefits of saving money</w:t>
      </w:r>
    </w:p>
    <w:p w:rsidR="00000000" w:rsidRPr="00435B51" w:rsidP="00435B51">
      <w:pPr>
        <w:pStyle w:val="ListBullet"/>
      </w:pPr>
      <w:r w:rsidRPr="00435B51">
        <w:t xml:space="preserve">common risk management strategies used to protect against </w:t>
      </w:r>
      <w:r w:rsidRPr="00435B51">
        <w:t>financial loss, including insurance</w:t>
      </w:r>
    </w:p>
    <w:p w:rsidR="00000000" w:rsidRPr="00435B51" w:rsidP="00435B51">
      <w:pPr>
        <w:pStyle w:val="ListBullet"/>
      </w:pPr>
      <w:r w:rsidRPr="00435B51">
        <w:t>key characteristics of insurance relating to personal finance</w:t>
      </w:r>
    </w:p>
    <w:p w:rsidR="00000000" w:rsidRPr="00435B51" w:rsidP="00435B51">
      <w:pPr>
        <w:pStyle w:val="ListBullet"/>
      </w:pPr>
      <w:r w:rsidRPr="00435B51">
        <w:t>key implications of taxation matters, including:</w:t>
      </w:r>
    </w:p>
    <w:p w:rsidR="00000000" w:rsidRPr="00435B51" w:rsidP="00435B51">
      <w:pPr>
        <w:pStyle w:val="ListBullet2"/>
      </w:pPr>
      <w:r w:rsidRPr="00435B51">
        <w:t>the role of the Australian Taxation Office</w:t>
      </w:r>
    </w:p>
    <w:p w:rsidR="00000000" w:rsidRPr="00435B51" w:rsidP="00435B51">
      <w:pPr>
        <w:pStyle w:val="ListBullet2"/>
      </w:pPr>
      <w:r w:rsidRPr="00435B51">
        <w:t xml:space="preserve">key aspects of tax being paid on income basis </w:t>
      </w:r>
    </w:p>
    <w:p w:rsidR="00000000" w:rsidRPr="00435B51" w:rsidP="00435B51">
      <w:pPr>
        <w:pStyle w:val="ListBullet2"/>
      </w:pPr>
      <w:r w:rsidRPr="00435B51">
        <w:t>personal tax liabilities and allowable deductions</w:t>
      </w:r>
    </w:p>
    <w:p w:rsidR="00000000" w:rsidRPr="00435B51" w:rsidP="00435B51">
      <w:pPr>
        <w:pStyle w:val="ListBullet2"/>
      </w:pPr>
      <w:r w:rsidRPr="00435B51">
        <w:t>tax rates</w:t>
      </w:r>
    </w:p>
    <w:p w:rsidR="00000000" w:rsidRPr="00435B51" w:rsidP="00435B51">
      <w:pPr>
        <w:pStyle w:val="ListBullet2"/>
      </w:pPr>
      <w:r w:rsidRPr="00435B51">
        <w:t>lodgement dates</w:t>
      </w:r>
    </w:p>
    <w:p w:rsidR="00000000" w:rsidRPr="00435B51" w:rsidP="00435B51">
      <w:pPr>
        <w:pStyle w:val="ListBullet2"/>
      </w:pPr>
      <w:r w:rsidRPr="00435B51">
        <w:t>goods and services tax (GST)</w:t>
      </w:r>
    </w:p>
    <w:p w:rsidR="00000000" w:rsidRPr="00435B51" w:rsidP="00435B51">
      <w:pPr>
        <w:pStyle w:val="ListBullet2"/>
      </w:pPr>
      <w:r w:rsidRPr="00435B51">
        <w:t>pay as you go tax (PAYG)</w:t>
      </w:r>
    </w:p>
    <w:p w:rsidR="00000000" w:rsidRPr="00435B51" w:rsidP="00435B51">
      <w:pPr>
        <w:pStyle w:val="ListBullet2"/>
      </w:pPr>
      <w:r w:rsidRPr="00435B51">
        <w:t>Australian business numbers (ABN)</w:t>
      </w:r>
    </w:p>
    <w:p w:rsidR="00000000" w:rsidRPr="00435B51" w:rsidP="00435B51">
      <w:pPr>
        <w:pStyle w:val="ListBullet2"/>
      </w:pPr>
      <w:r w:rsidRPr="00435B51">
        <w:t>tax file numbers (TFN)</w:t>
      </w:r>
    </w:p>
    <w:p w:rsidR="00000000" w:rsidRPr="00435B51" w:rsidP="00435B51">
      <w:pPr>
        <w:pStyle w:val="ListBullet2"/>
      </w:pPr>
      <w:r w:rsidRPr="00435B51">
        <w:t>business activity statements (BAS)</w:t>
      </w:r>
    </w:p>
    <w:p w:rsidR="00000000" w:rsidRPr="00435B51" w:rsidP="00435B51">
      <w:pPr>
        <w:pStyle w:val="ListBullet"/>
      </w:pPr>
      <w:r w:rsidRPr="00435B51">
        <w:t>key principles of budgeting, cash</w:t>
      </w:r>
      <w:r w:rsidRPr="00435B51">
        <w:t xml:space="preserve"> flow and saving, including:</w:t>
      </w:r>
    </w:p>
    <w:p w:rsidR="00000000" w:rsidRPr="00435B51" w:rsidP="00435B51">
      <w:pPr>
        <w:pStyle w:val="ListBullet2"/>
      </w:pPr>
      <w:r w:rsidRPr="00435B51">
        <w:t xml:space="preserve">role of credit and savings in establishing personal wealth </w:t>
      </w:r>
    </w:p>
    <w:p w:rsidR="00000000" w:rsidRPr="00435B51" w:rsidP="00435B51">
      <w:pPr>
        <w:pStyle w:val="ListBullet2"/>
      </w:pPr>
      <w:r w:rsidRPr="00435B51">
        <w:t>financial institutions and their savings, investment and credit products</w:t>
      </w:r>
    </w:p>
    <w:p w:rsidR="00000000" w:rsidRPr="00435B51" w:rsidP="00435B51">
      <w:pPr>
        <w:pStyle w:val="ListBullet2"/>
      </w:pPr>
      <w:r w:rsidRPr="00435B51">
        <w:t xml:space="preserve">key methods and systems for monitoring personal cash flow, spending and use of debt </w:t>
      </w:r>
    </w:p>
    <w:p w:rsidR="00000000" w:rsidRPr="00435B51" w:rsidP="00435B51">
      <w:pPr>
        <w:pStyle w:val="ListBullet"/>
      </w:pPr>
      <w:r w:rsidRPr="00435B51">
        <w:t>key asp</w:t>
      </w:r>
      <w:r w:rsidRPr="00435B51">
        <w:t xml:space="preserve">ects of and consequences of personal financial products and decisions, including: </w:t>
      </w:r>
    </w:p>
    <w:p w:rsidR="00000000" w:rsidRPr="00435B51" w:rsidP="00435B51">
      <w:pPr>
        <w:pStyle w:val="ListBullet2"/>
      </w:pPr>
      <w:r w:rsidRPr="00435B51">
        <w:t>bank accounts, including savings, credit and investment</w:t>
      </w:r>
    </w:p>
    <w:p w:rsidR="00000000" w:rsidRPr="00435B51" w:rsidP="00435B51">
      <w:pPr>
        <w:pStyle w:val="ListBullet2"/>
      </w:pPr>
      <w:r w:rsidRPr="00435B51">
        <w:t>insurance cover for health, car, phone, warranty, tools, household and income protection</w:t>
      </w:r>
    </w:p>
    <w:p w:rsidR="00000000" w:rsidRPr="00435B51" w:rsidP="00435B51">
      <w:pPr>
        <w:pStyle w:val="ListBullet2"/>
      </w:pPr>
      <w:r w:rsidRPr="00435B51">
        <w:t>contracts, including phones, data, tenancy and finance</w:t>
      </w:r>
    </w:p>
    <w:p w:rsidR="00000000" w:rsidRPr="00435B51" w:rsidP="00435B51">
      <w:pPr>
        <w:pStyle w:val="ListBullet"/>
      </w:pPr>
      <w:r w:rsidRPr="00435B51">
        <w:t>key superannuation matters relating to personal finances.</w:t>
      </w:r>
    </w:p>
    <w:p w:rsidR="00000000" w:rsidRPr="00435B51" w:rsidP="00435B51">
      <w:pPr>
        <w:pStyle w:val="AllowPageBreak"/>
      </w:pPr>
    </w:p>
    <w:p w:rsidR="00000000" w:rsidRPr="00435B51" w:rsidP="00435B51">
      <w:pPr>
        <w:pStyle w:val="Heading1"/>
      </w:pPr>
      <w:bookmarkStart w:id="4" w:name="O_1157023"/>
      <w:bookmarkEnd w:id="4"/>
      <w:r w:rsidRPr="00435B51">
        <w:t>Assessment Conditions</w:t>
      </w:r>
    </w:p>
    <w:p w:rsidR="00000000" w:rsidRPr="00435B51" w:rsidP="00597DDE">
      <w:pPr>
        <w:pStyle w:val="BodyText"/>
      </w:pPr>
      <w:r w:rsidRPr="00435B51">
        <w:t>Skills in this unit must be demonstrated in a workplace or simulated environment where the conditions</w:t>
      </w:r>
      <w:r w:rsidRPr="00435B51">
        <w:t xml:space="preserve"> are typical of those in a working environment in this industry. </w:t>
      </w:r>
    </w:p>
    <w:p w:rsidR="00000000" w:rsidRPr="00435B51" w:rsidP="00597DDE">
      <w:pPr>
        <w:pStyle w:val="BodyText"/>
      </w:pPr>
      <w:r w:rsidRPr="00435B51">
        <w:t>This includes access to:</w:t>
      </w:r>
    </w:p>
    <w:p w:rsidR="00000000" w:rsidRPr="00435B51" w:rsidP="00435B51">
      <w:pPr>
        <w:pStyle w:val="ListBullet"/>
      </w:pPr>
      <w:r w:rsidRPr="00435B51">
        <w:t>office equipment, technology, software and consumables</w:t>
      </w:r>
    </w:p>
    <w:p w:rsidR="00000000" w:rsidRPr="00435B51" w:rsidP="00435B51">
      <w:pPr>
        <w:pStyle w:val="ListBullet"/>
      </w:pPr>
      <w:r w:rsidRPr="00435B51">
        <w:t>financial services product information.</w:t>
      </w:r>
    </w:p>
    <w:p w:rsidR="00000000" w:rsidRPr="00435B51" w:rsidP="00435B51">
      <w:pPr>
        <w:pStyle w:val="BodyText"/>
      </w:pPr>
    </w:p>
    <w:p w:rsidR="00000000" w:rsidRPr="00435B51" w:rsidP="00597DDE">
      <w:pPr>
        <w:pStyle w:val="BodyText"/>
      </w:pPr>
      <w:r w:rsidRPr="00435B51">
        <w:t>Assessors of this unit must satisfy the requirements for assessors i</w:t>
      </w:r>
      <w:r w:rsidRPr="00435B51">
        <w:t xml:space="preserve">n applicable vocational education and training legislation, frameworks and/or standards. </w:t>
      </w:r>
    </w:p>
    <w:p w:rsidR="00000000" w:rsidRPr="00435B51" w:rsidP="00435B51">
      <w:pPr>
        <w:pStyle w:val="Heading1"/>
      </w:pPr>
      <w:bookmarkStart w:id="5" w:name="O_1157021"/>
      <w:bookmarkEnd w:id="5"/>
      <w:r w:rsidRPr="00435B51">
        <w:t>Links</w:t>
      </w:r>
    </w:p>
    <w:p w:rsidR="00000000" w:rsidRPr="00435B51" w:rsidP="00597DDE">
      <w:pPr>
        <w:pStyle w:val="BodyText"/>
      </w:pPr>
      <w:r w:rsidRPr="00435B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03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5B51" w:rsidP="00435B51"/>
    <w:sectPr w:rsidSect="00435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51" w:rsidRPr="00597DDE" w:rsidP="00597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DE" w:rsidP="0043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DDE" w:rsidP="0043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7DDE" w:rsidP="00435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B51" w:rsidRPr="00597DDE" w:rsidP="00597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DE" w:rsidRPr="002D2AF8" w:rsidP="0043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FNSFLT311 Develop and apply knowledge of personal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97DDE" w:rsidP="00435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EA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A8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41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B51"/>
  </w:style>
  <w:style w:type="character" w:customStyle="1" w:styleId="Heading1Char">
    <w:name w:val="Heading 1 Char"/>
    <w:basedOn w:val="DefaultParagraphFont"/>
    <w:link w:val="Heading1"/>
    <w:rsid w:val="00435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B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B51"/>
    <w:rPr>
      <w:b/>
      <w:spacing w:val="0"/>
    </w:rPr>
  </w:style>
  <w:style w:type="paragraph" w:styleId="ListBullet2">
    <w:name w:val="List Bullet 2"/>
    <w:basedOn w:val="List2"/>
    <w:rsid w:val="00435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B51"/>
    <w:rPr>
      <w:i/>
    </w:rPr>
  </w:style>
  <w:style w:type="paragraph" w:styleId="Caption">
    <w:name w:val="caption"/>
    <w:basedOn w:val="BodyText"/>
    <w:next w:val="Normal"/>
    <w:qFormat/>
    <w:rsid w:val="00435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B51"/>
  </w:style>
  <w:style w:type="paragraph" w:styleId="TableofFigures">
    <w:name w:val="table of figures"/>
    <w:basedOn w:val="Normal"/>
    <w:next w:val="Normal"/>
    <w:semiHidden/>
    <w:rsid w:val="00435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B51"/>
    <w:rPr>
      <w:rFonts w:ascii="Wingdings" w:hAnsi="Wingdings"/>
    </w:rPr>
  </w:style>
  <w:style w:type="paragraph" w:customStyle="1" w:styleId="TableHeading">
    <w:name w:val="Table Heading"/>
    <w:basedOn w:val="HeadingBase"/>
    <w:rsid w:val="00435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B51"/>
    <w:rPr>
      <w:color w:val="0033CC"/>
      <w:u w:val="none"/>
    </w:rPr>
  </w:style>
  <w:style w:type="paragraph" w:customStyle="1" w:styleId="BodyTextRight">
    <w:name w:val="Body Text Right"/>
    <w:basedOn w:val="BodyText"/>
    <w:rsid w:val="00435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B51"/>
    <w:rPr>
      <w:sz w:val="32"/>
    </w:rPr>
  </w:style>
  <w:style w:type="paragraph" w:customStyle="1" w:styleId="HeadingProcedure">
    <w:name w:val="Heading Procedure"/>
    <w:basedOn w:val="HeadingBase"/>
    <w:next w:val="Normal"/>
    <w:rsid w:val="00435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B51"/>
    <w:pPr>
      <w:spacing w:before="60" w:after="60"/>
    </w:pPr>
  </w:style>
  <w:style w:type="paragraph" w:styleId="ListContinue">
    <w:name w:val="List Continue"/>
    <w:basedOn w:val="List"/>
    <w:rsid w:val="00435B51"/>
    <w:pPr>
      <w:ind w:firstLine="0"/>
    </w:pPr>
  </w:style>
  <w:style w:type="paragraph" w:customStyle="1" w:styleId="ListNote">
    <w:name w:val="List Note"/>
    <w:basedOn w:val="List"/>
    <w:rsid w:val="00435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B51"/>
    <w:rPr>
      <w:rFonts w:ascii="Courier New" w:hAnsi="Courier New"/>
    </w:rPr>
  </w:style>
  <w:style w:type="paragraph" w:customStyle="1" w:styleId="NoteBullet">
    <w:name w:val="Note Bullet"/>
    <w:basedOn w:val="Note"/>
    <w:rsid w:val="00435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B51"/>
    <w:rPr>
      <w:b/>
      <w:smallCaps/>
    </w:rPr>
  </w:style>
  <w:style w:type="paragraph" w:customStyle="1" w:styleId="TableListNumber">
    <w:name w:val="Table List Number"/>
    <w:basedOn w:val="ListNumber"/>
    <w:rsid w:val="00435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B51"/>
    <w:pPr>
      <w:numPr>
        <w:numId w:val="9"/>
      </w:numPr>
    </w:pPr>
  </w:style>
  <w:style w:type="paragraph" w:customStyle="1" w:styleId="ListAlpha2">
    <w:name w:val="List Alpha 2"/>
    <w:basedOn w:val="List2"/>
    <w:rsid w:val="00435B51"/>
    <w:pPr>
      <w:numPr>
        <w:numId w:val="8"/>
      </w:numPr>
    </w:pPr>
  </w:style>
  <w:style w:type="paragraph" w:styleId="List2">
    <w:name w:val="List 2"/>
    <w:basedOn w:val="BodyText"/>
    <w:rsid w:val="00435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B51"/>
    <w:pPr>
      <w:numPr>
        <w:numId w:val="4"/>
      </w:numPr>
    </w:pPr>
  </w:style>
  <w:style w:type="paragraph" w:styleId="ListContinue2">
    <w:name w:val="List Continue 2"/>
    <w:basedOn w:val="List2"/>
    <w:rsid w:val="00435B51"/>
    <w:pPr>
      <w:ind w:firstLine="0"/>
    </w:pPr>
  </w:style>
  <w:style w:type="paragraph" w:styleId="ListContinue3">
    <w:name w:val="List Continue 3"/>
    <w:basedOn w:val="List3"/>
    <w:rsid w:val="00435B51"/>
    <w:pPr>
      <w:ind w:left="1021" w:firstLine="0"/>
    </w:pPr>
  </w:style>
  <w:style w:type="paragraph" w:styleId="ListContinue4">
    <w:name w:val="List Continue 4"/>
    <w:basedOn w:val="List4"/>
    <w:rsid w:val="00435B51"/>
    <w:pPr>
      <w:ind w:firstLine="0"/>
    </w:pPr>
  </w:style>
  <w:style w:type="paragraph" w:styleId="ListContinue5">
    <w:name w:val="List Continue 5"/>
    <w:basedOn w:val="List5"/>
    <w:rsid w:val="00435B51"/>
    <w:pPr>
      <w:ind w:firstLine="0"/>
    </w:pPr>
  </w:style>
  <w:style w:type="paragraph" w:styleId="ListNumber3">
    <w:name w:val="List Number 3"/>
    <w:basedOn w:val="List3"/>
    <w:rsid w:val="00435B51"/>
    <w:pPr>
      <w:numPr>
        <w:numId w:val="5"/>
      </w:numPr>
    </w:pPr>
  </w:style>
  <w:style w:type="paragraph" w:styleId="ListNumber4">
    <w:name w:val="List Number 4"/>
    <w:basedOn w:val="List4"/>
    <w:rsid w:val="00435B51"/>
    <w:pPr>
      <w:numPr>
        <w:numId w:val="6"/>
      </w:numPr>
    </w:pPr>
  </w:style>
  <w:style w:type="paragraph" w:styleId="ListNumber5">
    <w:name w:val="List Number 5"/>
    <w:basedOn w:val="List5"/>
    <w:rsid w:val="00435B51"/>
    <w:pPr>
      <w:numPr>
        <w:numId w:val="7"/>
      </w:numPr>
    </w:pPr>
  </w:style>
  <w:style w:type="paragraph" w:styleId="BlockText">
    <w:name w:val="Block Text"/>
    <w:basedOn w:val="Normal"/>
    <w:rsid w:val="00435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B51"/>
    <w:rPr>
      <w:sz w:val="16"/>
      <w:vertAlign w:val="superscript"/>
    </w:rPr>
  </w:style>
  <w:style w:type="character" w:customStyle="1" w:styleId="Symbols">
    <w:name w:val="Symbols"/>
    <w:basedOn w:val="DefaultParagraphFont"/>
    <w:rsid w:val="00435B51"/>
    <w:rPr>
      <w:rFonts w:ascii="Symbol" w:hAnsi="Symbol"/>
    </w:rPr>
  </w:style>
  <w:style w:type="character" w:customStyle="1" w:styleId="MenuOptions">
    <w:name w:val="Menu Options"/>
    <w:basedOn w:val="DefaultParagraphFont"/>
    <w:rsid w:val="00435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B51"/>
    <w:rPr>
      <w:b/>
    </w:rPr>
  </w:style>
  <w:style w:type="character" w:customStyle="1" w:styleId="Underlined">
    <w:name w:val="Underlined"/>
    <w:basedOn w:val="DefaultParagraphFont"/>
    <w:rsid w:val="00435B51"/>
    <w:rPr>
      <w:u w:val="single"/>
    </w:rPr>
  </w:style>
  <w:style w:type="paragraph" w:customStyle="1" w:styleId="TableBodyTextRight">
    <w:name w:val="Table Body Text Right"/>
    <w:basedOn w:val="TableBodyText"/>
    <w:rsid w:val="00435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B51"/>
    <w:rPr>
      <w:sz w:val="18"/>
    </w:rPr>
  </w:style>
  <w:style w:type="paragraph" w:customStyle="1" w:styleId="BodySmallRight">
    <w:name w:val="Body Small Right"/>
    <w:basedOn w:val="BodyTextRight"/>
    <w:rsid w:val="00435B51"/>
    <w:rPr>
      <w:sz w:val="18"/>
      <w:szCs w:val="18"/>
    </w:rPr>
  </w:style>
  <w:style w:type="paragraph" w:customStyle="1" w:styleId="MarginEdition">
    <w:name w:val="Margin Edition"/>
    <w:basedOn w:val="MarginNote"/>
    <w:rsid w:val="00435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B51"/>
    <w:rPr>
      <w:sz w:val="2"/>
      <w:szCs w:val="2"/>
    </w:rPr>
  </w:style>
  <w:style w:type="character" w:customStyle="1" w:styleId="Small">
    <w:name w:val="Small"/>
    <w:basedOn w:val="DefaultParagraphFont"/>
    <w:rsid w:val="00435B51"/>
    <w:rPr>
      <w:sz w:val="16"/>
    </w:rPr>
  </w:style>
  <w:style w:type="paragraph" w:customStyle="1" w:styleId="WideTable">
    <w:name w:val="Wide Table"/>
    <w:basedOn w:val="Normal"/>
    <w:rsid w:val="00435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B51"/>
  </w:style>
  <w:style w:type="paragraph" w:styleId="Quote">
    <w:name w:val="Quote"/>
    <w:basedOn w:val="Heading1"/>
    <w:link w:val="QuoteChar"/>
    <w:qFormat/>
    <w:rsid w:val="00435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B51"/>
    <w:pPr>
      <w:pageBreakBefore/>
    </w:pPr>
  </w:style>
  <w:style w:type="paragraph" w:customStyle="1" w:styleId="Border">
    <w:name w:val="Border"/>
    <w:basedOn w:val="Normal"/>
    <w:qFormat/>
    <w:rsid w:val="00435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B51"/>
    <w:rPr>
      <w:u w:val="single"/>
    </w:rPr>
  </w:style>
  <w:style w:type="character" w:customStyle="1" w:styleId="BoldandItalics">
    <w:name w:val="Bold and Italics"/>
    <w:qFormat/>
    <w:rsid w:val="00435B51"/>
    <w:rPr>
      <w:b/>
      <w:i/>
      <w:u w:val="none"/>
    </w:rPr>
  </w:style>
  <w:style w:type="paragraph" w:styleId="BalloonText">
    <w:name w:val="Balloon Text"/>
    <w:basedOn w:val="Normal"/>
    <w:link w:val="BalloonTextChar"/>
    <w:rsid w:val="0043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B51"/>
    <w:pPr>
      <w:spacing w:before="0" w:after="0"/>
    </w:pPr>
  </w:style>
  <w:style w:type="paragraph" w:customStyle="1" w:styleId="BodyTextBold">
    <w:name w:val="Body Text Bold"/>
    <w:basedOn w:val="BodyText"/>
    <w:qFormat/>
    <w:rsid w:val="00435B51"/>
    <w:rPr>
      <w:b/>
    </w:rPr>
  </w:style>
  <w:style w:type="character" w:styleId="Hyperlink">
    <w:name w:val="Hyperlink"/>
    <w:basedOn w:val="DefaultParagraphFont"/>
    <w:uiPriority w:val="99"/>
    <w:unhideWhenUsed/>
    <w:rsid w:val="00597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2737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FNSFLT311 Develop and apply knowledge of personal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