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576C" w:rsidP="001157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FNSFLT301 Be MoneySmart</w:t>
      </w:r>
      <w:r>
        <w:fldChar w:fldCharType="end"/>
      </w:r>
    </w:p>
    <w:p w:rsidR="0011576C" w:rsidP="0011576C">
      <w:pPr>
        <w:pStyle w:val="Version"/>
        <w:sectPr w:rsidSect="007E08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081D" w:rsidP="007E081D">
      <w:pPr>
        <w:pStyle w:val="SuperHeading"/>
      </w:pPr>
      <w:r w:rsidRPr="007E081D">
        <w:t>Assessment Requirements for FNSFLT301 Be MoneySmart</w:t>
      </w:r>
    </w:p>
    <w:p w:rsidR="00000000" w:rsidRPr="007E081D" w:rsidP="007E081D">
      <w:pPr>
        <w:pStyle w:val="Heading1"/>
      </w:pPr>
      <w:bookmarkStart w:id="1" w:name="O_675627"/>
      <w:bookmarkEnd w:id="1"/>
      <w:r w:rsidRPr="007E081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E08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81D" w:rsidP="007E081D">
            <w:pPr>
              <w:pStyle w:val="BodyText"/>
            </w:pPr>
            <w:r w:rsidRPr="007E081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81D">
            <w:pPr>
              <w:pStyle w:val="BodyText"/>
              <w:rPr>
                <w:lang w:val="en-NZ"/>
              </w:rPr>
            </w:pPr>
            <w:r w:rsidRPr="007E081D">
              <w:rPr>
                <w:rStyle w:val="SpecialBold"/>
              </w:rPr>
              <w:t>Comments</w:t>
            </w:r>
          </w:p>
        </w:tc>
      </w:tr>
      <w:tr w:rsidTr="007E08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81D">
            <w:pPr>
              <w:pStyle w:val="BodyText"/>
              <w:rPr>
                <w:lang w:val="en-NZ"/>
              </w:rPr>
            </w:pPr>
            <w:r w:rsidRPr="007E081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81D" w:rsidP="007E081D">
            <w:pPr>
              <w:pStyle w:val="BodyText"/>
            </w:pPr>
            <w:r w:rsidRPr="007E081D">
              <w:t>This version first released with FNS Financial Services Training Package Training Package Version 1.0.</w:t>
            </w:r>
          </w:p>
        </w:tc>
      </w:tr>
    </w:tbl>
    <w:p w:rsidR="00000000" w:rsidRPr="007E081D" w:rsidP="007E081D">
      <w:pPr>
        <w:pStyle w:val="BodyText"/>
      </w:pPr>
    </w:p>
    <w:p w:rsidR="00000000" w:rsidRPr="007E081D" w:rsidP="007E081D">
      <w:pPr>
        <w:pStyle w:val="AllowPageBreak"/>
      </w:pPr>
    </w:p>
    <w:p w:rsidR="00000000" w:rsidRPr="007E081D" w:rsidP="007E081D">
      <w:pPr>
        <w:pStyle w:val="Heading1"/>
      </w:pPr>
      <w:bookmarkStart w:id="2" w:name="O_675628"/>
      <w:bookmarkEnd w:id="2"/>
      <w:r w:rsidRPr="007E081D">
        <w:t>Performance Evidence</w:t>
      </w:r>
    </w:p>
    <w:p w:rsidR="00000000" w:rsidRPr="007E081D" w:rsidP="0011576C">
      <w:pPr>
        <w:pStyle w:val="BodyText"/>
      </w:pPr>
      <w:r w:rsidRPr="007E081D">
        <w:t>Evidence of the ability to:</w:t>
      </w:r>
    </w:p>
    <w:p w:rsidR="00000000" w:rsidRPr="007E081D" w:rsidP="007E081D">
      <w:pPr>
        <w:pStyle w:val="ListBullet"/>
      </w:pPr>
      <w:r w:rsidRPr="007E081D">
        <w:t>set personal financial goal</w:t>
      </w:r>
      <w:r w:rsidRPr="007E081D">
        <w:t>s and access opportunities for mentoring or advice on them</w:t>
      </w:r>
    </w:p>
    <w:p w:rsidR="00000000" w:rsidRPr="007E081D" w:rsidP="007E081D">
      <w:pPr>
        <w:pStyle w:val="ListBullet"/>
      </w:pPr>
      <w:r w:rsidRPr="007E081D">
        <w:t xml:space="preserve">access information to build on and maintain knowledge of factors affecting personal finances. </w:t>
      </w:r>
    </w:p>
    <w:p w:rsidR="00000000" w:rsidRPr="007E081D" w:rsidP="007E081D">
      <w:pPr>
        <w:pStyle w:val="BodyText"/>
      </w:pPr>
    </w:p>
    <w:p w:rsidR="00000000" w:rsidRPr="007E081D" w:rsidP="0011576C">
      <w:pPr>
        <w:pStyle w:val="BodyText"/>
      </w:pPr>
      <w:r w:rsidRPr="007E081D">
        <w:t>Note: If a specific volume or frequency is not stated, then evidence must be provided at least once.</w:t>
      </w:r>
    </w:p>
    <w:p w:rsidR="00000000" w:rsidRPr="007E081D" w:rsidP="007E081D">
      <w:pPr>
        <w:pStyle w:val="Heading1"/>
      </w:pPr>
      <w:bookmarkStart w:id="3" w:name="O_675629"/>
      <w:bookmarkEnd w:id="3"/>
      <w:r w:rsidRPr="007E081D">
        <w:t>Knowledge Evidence</w:t>
      </w:r>
    </w:p>
    <w:p w:rsidR="00000000" w:rsidRPr="007E081D" w:rsidP="0011576C">
      <w:pPr>
        <w:pStyle w:val="BodyText"/>
      </w:pPr>
      <w:r w:rsidRPr="007E081D">
        <w:t>To complete the unit requirements safely and effectively, the individual must:</w:t>
      </w:r>
    </w:p>
    <w:p w:rsidR="00000000" w:rsidRPr="007E081D" w:rsidP="007E081D">
      <w:pPr>
        <w:pStyle w:val="ListBullet"/>
      </w:pPr>
      <w:r w:rsidRPr="007E081D">
        <w:t>explain debt management including:</w:t>
      </w:r>
    </w:p>
    <w:p w:rsidR="00000000" w:rsidRPr="007E081D" w:rsidP="007E081D">
      <w:pPr>
        <w:pStyle w:val="ListBullet2"/>
      </w:pPr>
      <w:r w:rsidRPr="007E081D">
        <w:t>responsible use of credit</w:t>
      </w:r>
    </w:p>
    <w:p w:rsidR="00000000" w:rsidRPr="007E081D" w:rsidP="007E081D">
      <w:pPr>
        <w:pStyle w:val="ListBullet2"/>
      </w:pPr>
      <w:r w:rsidRPr="007E081D">
        <w:t>advantages of debit cards</w:t>
      </w:r>
    </w:p>
    <w:p w:rsidR="00000000" w:rsidRPr="007E081D" w:rsidP="007E081D">
      <w:pPr>
        <w:pStyle w:val="ListBullet2"/>
      </w:pPr>
      <w:r w:rsidRPr="007E081D">
        <w:t>consequences of debt default</w:t>
      </w:r>
    </w:p>
    <w:p w:rsidR="00000000" w:rsidRPr="007E081D" w:rsidP="007E081D">
      <w:pPr>
        <w:pStyle w:val="ListBullet2"/>
      </w:pPr>
      <w:r w:rsidRPr="007E081D">
        <w:t>attitude towards credit</w:t>
      </w:r>
      <w:r w:rsidRPr="007E081D">
        <w:t xml:space="preserve"> and spending</w:t>
      </w:r>
    </w:p>
    <w:p w:rsidR="00000000" w:rsidRPr="007E081D" w:rsidP="007E081D">
      <w:pPr>
        <w:pStyle w:val="ListBullet2"/>
      </w:pPr>
      <w:r w:rsidRPr="007E081D">
        <w:t>options for debt repayment</w:t>
      </w:r>
    </w:p>
    <w:p w:rsidR="00000000" w:rsidRPr="007E081D" w:rsidP="007E081D">
      <w:pPr>
        <w:pStyle w:val="ListBullet"/>
      </w:pPr>
      <w:r w:rsidRPr="007E081D">
        <w:t>describe employee entitlements under:</w:t>
      </w:r>
    </w:p>
    <w:p w:rsidR="00000000" w:rsidRPr="007E081D" w:rsidP="007E081D">
      <w:pPr>
        <w:pStyle w:val="ListBullet2"/>
      </w:pPr>
      <w:r w:rsidRPr="007E081D">
        <w:t>Fair Work Act</w:t>
      </w:r>
    </w:p>
    <w:p w:rsidR="00000000" w:rsidRPr="007E081D" w:rsidP="007E081D">
      <w:pPr>
        <w:pStyle w:val="ListBullet2"/>
      </w:pPr>
      <w:r w:rsidRPr="007E081D">
        <w:t>equal opportunity legislation</w:t>
      </w:r>
    </w:p>
    <w:p w:rsidR="00000000" w:rsidRPr="007E081D" w:rsidP="007E081D">
      <w:pPr>
        <w:pStyle w:val="ListBullet2"/>
      </w:pPr>
      <w:r w:rsidRPr="007E081D">
        <w:t>Superannuation Act</w:t>
      </w:r>
    </w:p>
    <w:p w:rsidR="00000000" w:rsidRPr="007E081D" w:rsidP="007E081D">
      <w:pPr>
        <w:pStyle w:val="ListBullet2"/>
      </w:pPr>
      <w:r w:rsidRPr="007E081D">
        <w:t>Income Tax Assessment Act</w:t>
      </w:r>
    </w:p>
    <w:p w:rsidR="00000000" w:rsidRPr="007E081D" w:rsidP="007E081D">
      <w:pPr>
        <w:pStyle w:val="ListBullet2"/>
      </w:pPr>
      <w:r w:rsidRPr="007E081D">
        <w:t>Taxation Administration Regulations</w:t>
      </w:r>
    </w:p>
    <w:p w:rsidR="00000000" w:rsidRPr="007E081D" w:rsidP="007E081D">
      <w:pPr>
        <w:pStyle w:val="ListBullet"/>
      </w:pPr>
      <w:r w:rsidRPr="007E081D">
        <w:t>describe how to find out about pay rates</w:t>
      </w:r>
    </w:p>
    <w:p w:rsidR="00000000" w:rsidRPr="007E081D" w:rsidP="007E081D">
      <w:pPr>
        <w:pStyle w:val="ListBullet"/>
      </w:pPr>
      <w:r w:rsidRPr="007E081D">
        <w:t>explain how to establish and maintain a good credit history</w:t>
      </w:r>
    </w:p>
    <w:p w:rsidR="00000000" w:rsidRPr="007E081D" w:rsidP="007E081D">
      <w:pPr>
        <w:pStyle w:val="ListBullet"/>
      </w:pPr>
      <w:r w:rsidRPr="007E081D">
        <w:t>explain the importance of saving money as a concept to assist and improve a life situation</w:t>
      </w:r>
    </w:p>
    <w:p w:rsidR="00000000" w:rsidRPr="007E081D" w:rsidP="007E081D">
      <w:pPr>
        <w:pStyle w:val="ListBullet"/>
      </w:pPr>
      <w:r w:rsidRPr="007E081D">
        <w:t>outline insurance matters:</w:t>
      </w:r>
    </w:p>
    <w:p w:rsidR="00000000" w:rsidRPr="007E081D" w:rsidP="007E081D">
      <w:pPr>
        <w:pStyle w:val="ListBullet2"/>
      </w:pPr>
      <w:r w:rsidRPr="007E081D">
        <w:t>value of insurance</w:t>
      </w:r>
    </w:p>
    <w:p w:rsidR="00000000" w:rsidRPr="007E081D" w:rsidP="007E081D">
      <w:pPr>
        <w:pStyle w:val="ListBullet2"/>
      </w:pPr>
      <w:r w:rsidRPr="007E081D">
        <w:t>disclosure obligations</w:t>
      </w:r>
    </w:p>
    <w:p w:rsidR="00000000" w:rsidRPr="007E081D" w:rsidP="007E081D">
      <w:pPr>
        <w:pStyle w:val="ListBullet2"/>
      </w:pPr>
      <w:r w:rsidRPr="007E081D">
        <w:t>suitable insurance cover for person</w:t>
      </w:r>
      <w:r w:rsidRPr="007E081D">
        <w:t>al income, trade tools, house, car and health</w:t>
      </w:r>
    </w:p>
    <w:p w:rsidR="00000000" w:rsidRPr="007E081D" w:rsidP="007E081D">
      <w:pPr>
        <w:pStyle w:val="ListBullet"/>
      </w:pPr>
      <w:r w:rsidRPr="007E081D">
        <w:t>describe personal implications of taxation matters including:</w:t>
      </w:r>
    </w:p>
    <w:p w:rsidR="00000000" w:rsidRPr="007E081D" w:rsidP="007E081D">
      <w:pPr>
        <w:pStyle w:val="ListBullet2"/>
      </w:pPr>
      <w:r w:rsidRPr="007E081D">
        <w:t>role of the Australian Taxation Office and why tax is paid on income</w:t>
      </w:r>
    </w:p>
    <w:p w:rsidR="00000000" w:rsidRPr="007E081D" w:rsidP="007E081D">
      <w:pPr>
        <w:pStyle w:val="ListBullet2"/>
      </w:pPr>
      <w:r w:rsidRPr="007E081D">
        <w:t>personal tax liabilities and allowable deductions</w:t>
      </w:r>
    </w:p>
    <w:p w:rsidR="00000000" w:rsidRPr="007E081D" w:rsidP="007E081D">
      <w:pPr>
        <w:pStyle w:val="ListBullet2"/>
      </w:pPr>
      <w:r w:rsidRPr="007E081D">
        <w:t>tax rates</w:t>
      </w:r>
    </w:p>
    <w:p w:rsidR="00000000" w:rsidRPr="007E081D" w:rsidP="007E081D">
      <w:pPr>
        <w:pStyle w:val="ListBullet2"/>
      </w:pPr>
      <w:r w:rsidRPr="007E081D">
        <w:t>lodgement dates</w:t>
      </w:r>
    </w:p>
    <w:p w:rsidR="00000000" w:rsidRPr="007E081D" w:rsidP="007E081D">
      <w:pPr>
        <w:pStyle w:val="ListBullet2"/>
      </w:pPr>
      <w:r w:rsidRPr="007E081D">
        <w:t>a</w:t>
      </w:r>
      <w:r w:rsidRPr="007E081D">
        <w:t>wareness of goods and services tax (GST), pay as you go tax (PAYG), Australian business number (ABN), tax file number (TFN) and business activity statements (BAS)</w:t>
      </w:r>
    </w:p>
    <w:p w:rsidR="00000000" w:rsidRPr="007E081D" w:rsidP="007E081D">
      <w:pPr>
        <w:pStyle w:val="ListBullet"/>
      </w:pPr>
      <w:r w:rsidRPr="007E081D">
        <w:t>explain principles of budgeting, cash flow and saving including:</w:t>
      </w:r>
    </w:p>
    <w:p w:rsidR="00000000" w:rsidRPr="007E081D" w:rsidP="007E081D">
      <w:pPr>
        <w:pStyle w:val="ListBullet2"/>
      </w:pPr>
      <w:r w:rsidRPr="007E081D">
        <w:t xml:space="preserve">role of credit and savings in establishing personal wealth </w:t>
      </w:r>
    </w:p>
    <w:p w:rsidR="00000000" w:rsidRPr="007E081D" w:rsidP="007E081D">
      <w:pPr>
        <w:pStyle w:val="ListBullet2"/>
      </w:pPr>
      <w:r w:rsidRPr="007E081D">
        <w:t xml:space="preserve">understanding of financial institutions and their savings, investment and credit products </w:t>
      </w:r>
    </w:p>
    <w:p w:rsidR="00000000" w:rsidRPr="007E081D" w:rsidP="007E081D">
      <w:pPr>
        <w:pStyle w:val="ListBullet"/>
      </w:pPr>
      <w:r w:rsidRPr="007E081D">
        <w:t>describe personal financial aspects of:</w:t>
      </w:r>
    </w:p>
    <w:p w:rsidR="00000000" w:rsidRPr="007E081D" w:rsidP="007E081D">
      <w:pPr>
        <w:pStyle w:val="ListBullet2"/>
      </w:pPr>
      <w:r w:rsidRPr="007E081D">
        <w:t>bank accounts including savings, credit and investment</w:t>
      </w:r>
    </w:p>
    <w:p w:rsidR="00000000" w:rsidRPr="007E081D" w:rsidP="007E081D">
      <w:pPr>
        <w:pStyle w:val="ListBullet2"/>
      </w:pPr>
      <w:r w:rsidRPr="007E081D">
        <w:t>insuranc</w:t>
      </w:r>
      <w:r w:rsidRPr="007E081D">
        <w:t>e cover for health, car, phone, warranty, tools, household and income protection</w:t>
      </w:r>
    </w:p>
    <w:p w:rsidR="00000000" w:rsidRPr="007E081D" w:rsidP="007E081D">
      <w:pPr>
        <w:pStyle w:val="ListBullet2"/>
      </w:pPr>
      <w:r w:rsidRPr="007E081D">
        <w:t>contracts including phones, data, tenancy and finance</w:t>
      </w:r>
    </w:p>
    <w:p w:rsidR="00000000" w:rsidRPr="007E081D" w:rsidP="007E081D">
      <w:pPr>
        <w:pStyle w:val="ListBullet"/>
      </w:pPr>
      <w:r w:rsidRPr="007E081D">
        <w:t>explain superannuation matters including:</w:t>
      </w:r>
    </w:p>
    <w:p w:rsidR="00000000" w:rsidRPr="007E081D" w:rsidP="007E081D">
      <w:pPr>
        <w:pStyle w:val="ListBullet2"/>
      </w:pPr>
      <w:r w:rsidRPr="007E081D">
        <w:t>types of funds –  retail versus industry</w:t>
      </w:r>
    </w:p>
    <w:p w:rsidR="00000000" w:rsidRPr="007E081D" w:rsidP="007E081D">
      <w:pPr>
        <w:pStyle w:val="ListBullet2"/>
      </w:pPr>
      <w:r w:rsidRPr="007E081D">
        <w:t>fund options – death or total and pe</w:t>
      </w:r>
      <w:r w:rsidRPr="007E081D">
        <w:t>rmanent disability (TPD) insurance</w:t>
      </w:r>
    </w:p>
    <w:p w:rsidR="00000000" w:rsidRPr="007E081D" w:rsidP="007E081D">
      <w:pPr>
        <w:pStyle w:val="ListBullet2"/>
      </w:pPr>
      <w:r w:rsidRPr="007E081D">
        <w:t>planning for the future</w:t>
      </w:r>
    </w:p>
    <w:p w:rsidR="00000000" w:rsidRPr="007E081D" w:rsidP="007E081D">
      <w:pPr>
        <w:pStyle w:val="ListBullet2"/>
      </w:pPr>
      <w:r w:rsidRPr="007E081D">
        <w:t>power of compound interest</w:t>
      </w:r>
    </w:p>
    <w:p w:rsidR="00000000" w:rsidRPr="007E081D" w:rsidP="007E081D">
      <w:pPr>
        <w:pStyle w:val="ListBullet2"/>
      </w:pPr>
      <w:r w:rsidRPr="007E081D">
        <w:t>superannuation guarantee</w:t>
      </w:r>
    </w:p>
    <w:p w:rsidR="00000000" w:rsidRPr="007E081D" w:rsidP="007E081D">
      <w:pPr>
        <w:pStyle w:val="ListBullet2"/>
      </w:pPr>
      <w:r w:rsidRPr="007E081D">
        <w:t>co-contributions</w:t>
      </w:r>
    </w:p>
    <w:p w:rsidR="00000000" w:rsidRPr="007E081D" w:rsidP="007E081D">
      <w:pPr>
        <w:pStyle w:val="ListBullet2"/>
      </w:pPr>
      <w:r w:rsidRPr="007E081D">
        <w:t>personal contributions</w:t>
      </w:r>
    </w:p>
    <w:p w:rsidR="00000000" w:rsidRPr="007E081D" w:rsidP="007E081D">
      <w:pPr>
        <w:pStyle w:val="ListBullet2"/>
      </w:pPr>
      <w:r w:rsidRPr="007E081D">
        <w:t>fees and charges</w:t>
      </w:r>
    </w:p>
    <w:p w:rsidR="00000000" w:rsidRPr="007E081D" w:rsidP="007E081D">
      <w:pPr>
        <w:pStyle w:val="ListBullet2"/>
      </w:pPr>
      <w:r w:rsidRPr="007E081D">
        <w:t>value of consolidating super funds</w:t>
      </w:r>
    </w:p>
    <w:p w:rsidR="00000000" w:rsidRPr="007E081D" w:rsidP="007E081D">
      <w:pPr>
        <w:pStyle w:val="ListBullet2"/>
      </w:pPr>
      <w:r w:rsidRPr="007E081D">
        <w:t>locating lost super.</w:t>
      </w:r>
    </w:p>
    <w:p w:rsidR="00000000" w:rsidRPr="007E081D" w:rsidP="007E081D">
      <w:pPr>
        <w:pStyle w:val="AllowPageBreak"/>
      </w:pPr>
    </w:p>
    <w:p w:rsidR="00000000" w:rsidRPr="007E081D" w:rsidP="007E081D">
      <w:pPr>
        <w:pStyle w:val="Heading1"/>
      </w:pPr>
      <w:bookmarkStart w:id="4" w:name="O_675630"/>
      <w:bookmarkEnd w:id="4"/>
      <w:r w:rsidRPr="007E081D">
        <w:t>Assessment Co</w:t>
      </w:r>
      <w:r w:rsidRPr="007E081D">
        <w:t>nditions</w:t>
      </w:r>
    </w:p>
    <w:p w:rsidR="00000000" w:rsidRPr="007E081D" w:rsidP="0011576C">
      <w:pPr>
        <w:pStyle w:val="BodyText"/>
      </w:pPr>
      <w:r w:rsidRPr="007E081D">
        <w:t>Assessment must be conducted in a safe environment where evidence gathered demonstrates consistent performance of typical activities experienced in the financial literacy field and include access to current information about personal financial mat</w:t>
      </w:r>
      <w:r w:rsidRPr="007E081D">
        <w:t xml:space="preserve">ters. </w:t>
      </w:r>
    </w:p>
    <w:p w:rsidR="0011576C" w:rsidP="0011576C">
      <w:pPr>
        <w:pStyle w:val="BodyText"/>
      </w:pPr>
      <w:r w:rsidRPr="007E081D">
        <w:t xml:space="preserve">Assessors must satisfy NVR/AQTF assessor requirements. </w:t>
      </w:r>
    </w:p>
    <w:p w:rsidR="00000000" w:rsidRPr="007E081D" w:rsidP="007E081D">
      <w:pPr>
        <w:pStyle w:val="Heading1"/>
      </w:pPr>
      <w:bookmarkStart w:id="5" w:name="O_675633"/>
      <w:bookmarkEnd w:id="5"/>
      <w:r w:rsidRPr="007E081D">
        <w:t>Links</w:t>
      </w:r>
    </w:p>
    <w:p w:rsidR="00000000" w:rsidRPr="007E081D" w:rsidP="0011576C">
      <w:pPr>
        <w:pStyle w:val="BodyText"/>
      </w:pPr>
      <w:r w:rsidRPr="007E081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605D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7E081D" w:rsidP="007E081D"/>
    <w:sectPr w:rsidSect="007E081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8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81D" w:rsidRPr="0011576C" w:rsidP="001157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8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76C" w:rsidP="007E08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1576C" w:rsidP="007E08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1576C" w:rsidP="007E08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8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7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081D" w:rsidRPr="0011576C" w:rsidP="001157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8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76C" w:rsidRPr="002D2AF8" w:rsidP="007E08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FNSFLT301 Be MoneySmart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11576C" w:rsidP="007E08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AD0CC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6147E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90AD7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08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08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08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08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08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08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08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08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08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08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08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081D"/>
  </w:style>
  <w:style w:type="character" w:customStyle="1" w:styleId="Heading1Char">
    <w:name w:val="Heading 1 Char"/>
    <w:basedOn w:val="DefaultParagraphFont"/>
    <w:link w:val="Heading1"/>
    <w:rsid w:val="007E08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08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08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081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E081D"/>
    <w:rPr>
      <w:b/>
      <w:spacing w:val="0"/>
    </w:rPr>
  </w:style>
  <w:style w:type="paragraph" w:styleId="ListBullet2">
    <w:name w:val="List Bullet 2"/>
    <w:basedOn w:val="List2"/>
    <w:rsid w:val="007E081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E08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08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08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08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08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08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08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08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08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08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08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08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08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08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08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08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08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08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08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08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08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08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08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08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08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E08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08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08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08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08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08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08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08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081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081D"/>
    <w:rPr>
      <w:i/>
    </w:rPr>
  </w:style>
  <w:style w:type="paragraph" w:styleId="Caption">
    <w:name w:val="caption"/>
    <w:basedOn w:val="BodyText"/>
    <w:next w:val="Normal"/>
    <w:qFormat/>
    <w:rsid w:val="007E08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08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08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081D"/>
  </w:style>
  <w:style w:type="paragraph" w:styleId="TableofFigures">
    <w:name w:val="table of figures"/>
    <w:basedOn w:val="Normal"/>
    <w:next w:val="Normal"/>
    <w:semiHidden/>
    <w:rsid w:val="007E08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081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E081D"/>
    <w:rPr>
      <w:rFonts w:ascii="Wingdings" w:hAnsi="Wingdings"/>
    </w:rPr>
  </w:style>
  <w:style w:type="paragraph" w:customStyle="1" w:styleId="TableHeading">
    <w:name w:val="Table Heading"/>
    <w:basedOn w:val="HeadingBase"/>
    <w:rsid w:val="007E08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081D"/>
    <w:rPr>
      <w:color w:val="0033CC"/>
      <w:u w:val="none"/>
    </w:rPr>
  </w:style>
  <w:style w:type="paragraph" w:customStyle="1" w:styleId="BodyTextRight">
    <w:name w:val="Body Text Right"/>
    <w:basedOn w:val="BodyText"/>
    <w:rsid w:val="007E08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08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081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08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08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08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081D"/>
    <w:rPr>
      <w:sz w:val="32"/>
    </w:rPr>
  </w:style>
  <w:style w:type="paragraph" w:customStyle="1" w:styleId="HeadingProcedure">
    <w:name w:val="Heading Procedure"/>
    <w:basedOn w:val="HeadingBase"/>
    <w:next w:val="Normal"/>
    <w:rsid w:val="007E08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081D"/>
    <w:pPr>
      <w:spacing w:before="60" w:after="60"/>
    </w:pPr>
  </w:style>
  <w:style w:type="paragraph" w:styleId="ListContinue">
    <w:name w:val="List Continue"/>
    <w:basedOn w:val="List"/>
    <w:rsid w:val="007E081D"/>
    <w:pPr>
      <w:ind w:firstLine="0"/>
    </w:pPr>
  </w:style>
  <w:style w:type="paragraph" w:customStyle="1" w:styleId="ListNote">
    <w:name w:val="List Note"/>
    <w:basedOn w:val="List"/>
    <w:rsid w:val="007E08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08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08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081D"/>
    <w:rPr>
      <w:rFonts w:ascii="Courier New" w:hAnsi="Courier New"/>
    </w:rPr>
  </w:style>
  <w:style w:type="paragraph" w:customStyle="1" w:styleId="NoteBullet">
    <w:name w:val="Note Bullet"/>
    <w:basedOn w:val="Note"/>
    <w:rsid w:val="007E08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08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08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08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081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E08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08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081D"/>
    <w:rPr>
      <w:b/>
      <w:smallCaps/>
    </w:rPr>
  </w:style>
  <w:style w:type="paragraph" w:customStyle="1" w:styleId="TableListNumber">
    <w:name w:val="Table List Number"/>
    <w:basedOn w:val="ListNumber"/>
    <w:rsid w:val="007E08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08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081D"/>
    <w:pPr>
      <w:numPr>
        <w:numId w:val="9"/>
      </w:numPr>
    </w:pPr>
  </w:style>
  <w:style w:type="paragraph" w:customStyle="1" w:styleId="ListAlpha2">
    <w:name w:val="List Alpha 2"/>
    <w:basedOn w:val="List2"/>
    <w:rsid w:val="007E081D"/>
    <w:pPr>
      <w:numPr>
        <w:numId w:val="8"/>
      </w:numPr>
    </w:pPr>
  </w:style>
  <w:style w:type="paragraph" w:styleId="List2">
    <w:name w:val="List 2"/>
    <w:basedOn w:val="BodyText"/>
    <w:rsid w:val="007E08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08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08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08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081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081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E081D"/>
    <w:pPr>
      <w:numPr>
        <w:numId w:val="4"/>
      </w:numPr>
    </w:pPr>
  </w:style>
  <w:style w:type="paragraph" w:styleId="ListContinue2">
    <w:name w:val="List Continue 2"/>
    <w:basedOn w:val="List2"/>
    <w:rsid w:val="007E081D"/>
    <w:pPr>
      <w:ind w:firstLine="0"/>
    </w:pPr>
  </w:style>
  <w:style w:type="paragraph" w:styleId="ListContinue3">
    <w:name w:val="List Continue 3"/>
    <w:basedOn w:val="List3"/>
    <w:rsid w:val="007E081D"/>
    <w:pPr>
      <w:ind w:left="1021" w:firstLine="0"/>
    </w:pPr>
  </w:style>
  <w:style w:type="paragraph" w:styleId="ListContinue4">
    <w:name w:val="List Continue 4"/>
    <w:basedOn w:val="List4"/>
    <w:rsid w:val="007E081D"/>
    <w:pPr>
      <w:ind w:firstLine="0"/>
    </w:pPr>
  </w:style>
  <w:style w:type="paragraph" w:styleId="ListContinue5">
    <w:name w:val="List Continue 5"/>
    <w:basedOn w:val="List5"/>
    <w:rsid w:val="007E081D"/>
    <w:pPr>
      <w:ind w:firstLine="0"/>
    </w:pPr>
  </w:style>
  <w:style w:type="paragraph" w:styleId="ListNumber3">
    <w:name w:val="List Number 3"/>
    <w:basedOn w:val="List3"/>
    <w:rsid w:val="007E081D"/>
    <w:pPr>
      <w:numPr>
        <w:numId w:val="5"/>
      </w:numPr>
    </w:pPr>
  </w:style>
  <w:style w:type="paragraph" w:styleId="ListNumber4">
    <w:name w:val="List Number 4"/>
    <w:basedOn w:val="List4"/>
    <w:rsid w:val="007E081D"/>
    <w:pPr>
      <w:numPr>
        <w:numId w:val="6"/>
      </w:numPr>
    </w:pPr>
  </w:style>
  <w:style w:type="paragraph" w:styleId="ListNumber5">
    <w:name w:val="List Number 5"/>
    <w:basedOn w:val="List5"/>
    <w:rsid w:val="007E081D"/>
    <w:pPr>
      <w:numPr>
        <w:numId w:val="7"/>
      </w:numPr>
    </w:pPr>
  </w:style>
  <w:style w:type="paragraph" w:styleId="BlockText">
    <w:name w:val="Block Text"/>
    <w:basedOn w:val="Normal"/>
    <w:rsid w:val="007E08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08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081D"/>
    <w:rPr>
      <w:sz w:val="16"/>
      <w:vertAlign w:val="superscript"/>
    </w:rPr>
  </w:style>
  <w:style w:type="character" w:customStyle="1" w:styleId="Symbols">
    <w:name w:val="Symbols"/>
    <w:basedOn w:val="DefaultParagraphFont"/>
    <w:rsid w:val="007E081D"/>
    <w:rPr>
      <w:rFonts w:ascii="Symbol" w:hAnsi="Symbol"/>
    </w:rPr>
  </w:style>
  <w:style w:type="character" w:customStyle="1" w:styleId="MenuOptions">
    <w:name w:val="Menu Options"/>
    <w:basedOn w:val="DefaultParagraphFont"/>
    <w:rsid w:val="007E08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081D"/>
    <w:rPr>
      <w:b/>
    </w:rPr>
  </w:style>
  <w:style w:type="character" w:customStyle="1" w:styleId="Underlined">
    <w:name w:val="Underlined"/>
    <w:basedOn w:val="DefaultParagraphFont"/>
    <w:rsid w:val="007E081D"/>
    <w:rPr>
      <w:u w:val="single"/>
    </w:rPr>
  </w:style>
  <w:style w:type="paragraph" w:customStyle="1" w:styleId="TableBodyTextRight">
    <w:name w:val="Table Body Text Right"/>
    <w:basedOn w:val="TableBodyText"/>
    <w:rsid w:val="007E08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081D"/>
    <w:rPr>
      <w:sz w:val="18"/>
    </w:rPr>
  </w:style>
  <w:style w:type="paragraph" w:customStyle="1" w:styleId="BodySmallRight">
    <w:name w:val="Body Small Right"/>
    <w:basedOn w:val="BodyTextRight"/>
    <w:rsid w:val="007E081D"/>
    <w:rPr>
      <w:sz w:val="18"/>
      <w:szCs w:val="18"/>
    </w:rPr>
  </w:style>
  <w:style w:type="paragraph" w:customStyle="1" w:styleId="MarginEdition">
    <w:name w:val="Margin Edition"/>
    <w:basedOn w:val="MarginNote"/>
    <w:rsid w:val="007E08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081D"/>
    <w:rPr>
      <w:sz w:val="2"/>
      <w:szCs w:val="2"/>
    </w:rPr>
  </w:style>
  <w:style w:type="character" w:customStyle="1" w:styleId="Small">
    <w:name w:val="Small"/>
    <w:basedOn w:val="DefaultParagraphFont"/>
    <w:rsid w:val="007E081D"/>
    <w:rPr>
      <w:sz w:val="16"/>
    </w:rPr>
  </w:style>
  <w:style w:type="paragraph" w:customStyle="1" w:styleId="WideTable">
    <w:name w:val="Wide Table"/>
    <w:basedOn w:val="Normal"/>
    <w:rsid w:val="007E08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081D"/>
  </w:style>
  <w:style w:type="paragraph" w:styleId="Quote">
    <w:name w:val="Quote"/>
    <w:basedOn w:val="Heading1"/>
    <w:link w:val="QuoteChar"/>
    <w:qFormat/>
    <w:rsid w:val="007E08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08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081D"/>
    <w:pPr>
      <w:pageBreakBefore/>
    </w:pPr>
  </w:style>
  <w:style w:type="paragraph" w:customStyle="1" w:styleId="Border">
    <w:name w:val="Border"/>
    <w:basedOn w:val="Normal"/>
    <w:qFormat/>
    <w:rsid w:val="007E08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08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08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08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08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08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08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08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08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081D"/>
    <w:rPr>
      <w:u w:val="single"/>
    </w:rPr>
  </w:style>
  <w:style w:type="character" w:customStyle="1" w:styleId="BoldandItalics">
    <w:name w:val="Bold and Italics"/>
    <w:qFormat/>
    <w:rsid w:val="007E081D"/>
    <w:rPr>
      <w:b/>
      <w:i/>
      <w:u w:val="none"/>
    </w:rPr>
  </w:style>
  <w:style w:type="paragraph" w:styleId="BalloonText">
    <w:name w:val="Balloon Text"/>
    <w:basedOn w:val="Normal"/>
    <w:link w:val="BalloonTextChar"/>
    <w:rsid w:val="007E08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08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08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08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08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08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081D"/>
    <w:pPr>
      <w:spacing w:before="0" w:after="0"/>
    </w:pPr>
  </w:style>
  <w:style w:type="paragraph" w:customStyle="1" w:styleId="BodyTextBold">
    <w:name w:val="Body Text Bold"/>
    <w:basedOn w:val="BodyText"/>
    <w:qFormat/>
    <w:rsid w:val="007E081D"/>
    <w:rPr>
      <w:b/>
    </w:rPr>
  </w:style>
  <w:style w:type="character" w:styleId="Hyperlink">
    <w:name w:val="Hyperlink"/>
    <w:basedOn w:val="DefaultParagraphFont"/>
    <w:uiPriority w:val="99"/>
    <w:unhideWhenUsed/>
    <w:rsid w:val="001157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426</Words>
  <Characters>2783</Characters>
  <Application>Microsoft Office Word</Application>
  <DocSecurity>0</DocSecurity>
  <Lines>86</Lines>
  <Paragraphs>74</Paragraphs>
  <ScaleCrop>false</ScaleCrop>
  <Company>Author-it Software Corporation Ltd.</Company>
  <LinksUpToDate>false</LinksUpToDate>
  <CharactersWithSpaces>3135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FNSFLT301 Be MoneySmart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2022-04-04T02:06:00Z</dcterms:created>
  <dcterms:modified xsi:type="dcterms:W3CDTF">2022-04-04T02:06:00Z</dcterms:modified>
</cp:coreProperties>
</file>