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6681" w:rsidP="002D6681">
      <w:pPr>
        <w:pStyle w:val="Title"/>
      </w:pPr>
      <w:r>
        <w:fldChar w:fldCharType="begin"/>
      </w:r>
      <w:r>
        <w:instrText xml:space="preserve"> TITLE   \* MERGEFORMAT </w:instrText>
      </w:r>
      <w:r>
        <w:fldChar w:fldCharType="separate"/>
      </w:r>
      <w:r>
        <w:t>FNSFLT213 Develop knowledge of debt and consumer credit</w:t>
      </w:r>
      <w:r>
        <w:fldChar w:fldCharType="end"/>
      </w:r>
    </w:p>
    <w:p w:rsidR="002D6681" w:rsidP="002D6681">
      <w:pPr>
        <w:pStyle w:val="Version"/>
        <w:sectPr w:rsidSect="006B60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603C" w:rsidP="006B603C">
      <w:pPr>
        <w:pStyle w:val="SuperHeading"/>
      </w:pPr>
      <w:r w:rsidRPr="006B603C">
        <w:t>FNSFLT213 Develop knowledge of debt and consumer credit</w:t>
      </w:r>
    </w:p>
    <w:p w:rsidR="00000000" w:rsidRPr="006B603C" w:rsidP="006B603C">
      <w:pPr>
        <w:pStyle w:val="Heading1"/>
      </w:pPr>
      <w:bookmarkStart w:id="1" w:name="O_1156962"/>
      <w:bookmarkEnd w:id="1"/>
      <w:r w:rsidRPr="006B603C">
        <w:t>Modification History</w:t>
      </w:r>
    </w:p>
    <w:tbl>
      <w:tblPr>
        <w:tblW w:w="9568" w:type="dxa"/>
        <w:tblLayout w:type="fixed"/>
        <w:tblCellMar>
          <w:left w:w="62" w:type="dxa"/>
          <w:right w:w="62" w:type="dxa"/>
        </w:tblCellMar>
        <w:tblLook w:val="0000"/>
      </w:tblPr>
      <w:tblGrid>
        <w:gridCol w:w="2696"/>
        <w:gridCol w:w="6872"/>
      </w:tblGrid>
      <w:tr w:rsidTr="006B603C">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603C" w:rsidP="006B603C">
            <w:pPr>
              <w:pStyle w:val="BodyText"/>
            </w:pPr>
            <w:r w:rsidRPr="006B603C">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603C">
            <w:pPr>
              <w:pStyle w:val="BodyText"/>
              <w:rPr>
                <w:lang w:val="en-NZ"/>
              </w:rPr>
            </w:pPr>
            <w:r w:rsidRPr="006B603C">
              <w:rPr>
                <w:rStyle w:val="SpecialBold"/>
              </w:rPr>
              <w:t>Comments</w:t>
            </w:r>
          </w:p>
        </w:tc>
      </w:tr>
      <w:tr w:rsidTr="006B603C">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603C">
            <w:pPr>
              <w:pStyle w:val="BodyText"/>
              <w:rPr>
                <w:lang w:val="en-NZ"/>
              </w:rPr>
            </w:pPr>
            <w:r w:rsidRPr="006B603C">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603C" w:rsidP="006B603C">
            <w:pPr>
              <w:pStyle w:val="BodyText"/>
            </w:pPr>
            <w:r w:rsidRPr="006B603C">
              <w:t>This version first released with FNS Financial Services Training Package Version 6.0.</w:t>
            </w:r>
          </w:p>
        </w:tc>
      </w:tr>
    </w:tbl>
    <w:p w:rsidR="00000000" w:rsidRPr="006B603C" w:rsidP="006B603C">
      <w:pPr>
        <w:pStyle w:val="BodyText"/>
      </w:pPr>
    </w:p>
    <w:p w:rsidR="00000000" w:rsidRPr="006B603C" w:rsidP="006B603C">
      <w:pPr>
        <w:pStyle w:val="AllowPageBreak"/>
      </w:pPr>
    </w:p>
    <w:p w:rsidR="00000000" w:rsidRPr="006B603C" w:rsidP="006B603C">
      <w:pPr>
        <w:pStyle w:val="Heading1"/>
      </w:pPr>
      <w:bookmarkStart w:id="2" w:name="O_1156967"/>
      <w:bookmarkEnd w:id="2"/>
      <w:r w:rsidRPr="006B603C">
        <w:t>Application</w:t>
      </w:r>
    </w:p>
    <w:p w:rsidR="00000000" w:rsidRPr="006B603C" w:rsidP="002D6681">
      <w:pPr>
        <w:pStyle w:val="BodyText"/>
      </w:pPr>
      <w:r w:rsidRPr="006B603C">
        <w:t>This unit describes the skills and knowledge required to understand th</w:t>
      </w:r>
      <w:r w:rsidRPr="006B603C">
        <w:t>e functions and implications of different forms of credit, and the strategies and methods to make decisions regarding management of personal debt and use of credit facilities. It has wide application and may be used in workplaces, schools, adult and commun</w:t>
      </w:r>
      <w:r w:rsidRPr="006B603C">
        <w:t>ity learning organisations or registered training organisations to build the financial literacy of learners. The unit may also be used as part of pre-vocational or new apprenticeship programs, or as part of services provided by counselling or advisory orga</w:t>
      </w:r>
      <w:r w:rsidRPr="006B603C">
        <w:t>nisations.</w:t>
      </w:r>
    </w:p>
    <w:p w:rsidR="00000000" w:rsidRPr="006B603C" w:rsidP="002D6681">
      <w:pPr>
        <w:pStyle w:val="BodyText"/>
      </w:pPr>
      <w:r w:rsidRPr="006B603C">
        <w:t xml:space="preserve">The unit applies to those who explore new ideas and techniques to build personal financial literacy knowledge. </w:t>
      </w:r>
    </w:p>
    <w:p w:rsidR="00000000" w:rsidRPr="006B603C" w:rsidP="002D6681">
      <w:pPr>
        <w:pStyle w:val="BodyText"/>
      </w:pPr>
      <w:r w:rsidRPr="006B603C">
        <w:t>No licensing, legislative or certification requirements apply to this unit at the time of publication.</w:t>
      </w:r>
    </w:p>
    <w:p w:rsidR="00000000" w:rsidRPr="006B603C" w:rsidP="006B603C">
      <w:pPr>
        <w:pStyle w:val="Heading1"/>
      </w:pPr>
      <w:bookmarkStart w:id="3" w:name="O_1156966"/>
      <w:bookmarkEnd w:id="3"/>
      <w:r w:rsidRPr="006B603C">
        <w:t>Unit Sector</w:t>
      </w:r>
    </w:p>
    <w:p w:rsidR="00000000" w:rsidRPr="006B603C" w:rsidP="002D6681">
      <w:pPr>
        <w:pStyle w:val="BodyText"/>
      </w:pPr>
      <w:r w:rsidRPr="006B603C">
        <w:t>Financial literacy</w:t>
      </w:r>
    </w:p>
    <w:p w:rsidR="00000000" w:rsidRPr="006B603C" w:rsidP="006B603C">
      <w:pPr>
        <w:pStyle w:val="Heading1"/>
      </w:pPr>
      <w:bookmarkStart w:id="4" w:name="O_1156965"/>
      <w:bookmarkEnd w:id="4"/>
      <w:r w:rsidRPr="006B603C">
        <w:t>Elements and Performance Criteria</w:t>
      </w:r>
    </w:p>
    <w:tbl>
      <w:tblPr>
        <w:tblW w:w="9568" w:type="dxa"/>
        <w:tblLayout w:type="fixed"/>
        <w:tblCellMar>
          <w:left w:w="62" w:type="dxa"/>
          <w:right w:w="62" w:type="dxa"/>
        </w:tblCellMar>
        <w:tblLook w:val="0000"/>
      </w:tblPr>
      <w:tblGrid>
        <w:gridCol w:w="2696"/>
        <w:gridCol w:w="6872"/>
      </w:tblGrid>
      <w:tr w:rsidTr="006B603C">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603C" w:rsidP="006B603C">
            <w:pPr>
              <w:pStyle w:val="BodyText"/>
            </w:pPr>
            <w:r w:rsidRPr="006B603C">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603C">
            <w:pPr>
              <w:pStyle w:val="BodyText"/>
              <w:rPr>
                <w:lang w:val="en-NZ"/>
              </w:rPr>
            </w:pPr>
            <w:r w:rsidRPr="006B603C">
              <w:rPr>
                <w:rStyle w:val="SpecialBold"/>
              </w:rPr>
              <w:t>PERFORMANCE CRITERIA</w:t>
            </w:r>
          </w:p>
        </w:tc>
      </w:tr>
      <w:tr w:rsidTr="006B603C">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603C" w:rsidP="006B603C">
            <w:pPr>
              <w:pStyle w:val="BodyText"/>
            </w:pPr>
            <w:r w:rsidRPr="006B603C">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603C">
            <w:pPr>
              <w:pStyle w:val="BodyText"/>
              <w:rPr>
                <w:lang w:val="en-NZ"/>
              </w:rPr>
            </w:pPr>
            <w:r w:rsidRPr="006B603C">
              <w:rPr>
                <w:rStyle w:val="Emphasis"/>
              </w:rPr>
              <w:t>Performance criteria describe the performance needed to demonstrate achievement of the element.</w:t>
            </w:r>
          </w:p>
        </w:tc>
      </w:tr>
      <w:tr w:rsidTr="006B603C">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603C">
            <w:pPr>
              <w:pStyle w:val="List"/>
              <w:rPr>
                <w:lang w:val="en-NZ"/>
              </w:rPr>
            </w:pPr>
            <w:r w:rsidRPr="006B603C">
              <w:t>1. Identify role of credit in society</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603C" w:rsidP="006B603C">
            <w:pPr>
              <w:pStyle w:val="List"/>
            </w:pPr>
            <w:r w:rsidRPr="006B603C">
              <w:t xml:space="preserve">1.1 Identify concepts and terminology of credit provided by financial institute and debt incurred by borrower </w:t>
            </w:r>
          </w:p>
          <w:p w:rsidR="00000000" w:rsidRPr="006B603C" w:rsidP="006B603C">
            <w:pPr>
              <w:pStyle w:val="List"/>
            </w:pPr>
            <w:r w:rsidRPr="006B603C">
              <w:t>1.2 Identify historical and current role of consumer credit in Australian society</w:t>
            </w:r>
          </w:p>
          <w:p w:rsidR="00000000" w:rsidRPr="006B603C" w:rsidP="006B603C">
            <w:pPr>
              <w:pStyle w:val="List"/>
            </w:pPr>
            <w:r w:rsidRPr="006B603C">
              <w:t>1.3 Identify advantages a</w:t>
            </w:r>
            <w:r w:rsidRPr="006B603C">
              <w:t xml:space="preserve">nd disadvantages of credit use </w:t>
            </w:r>
          </w:p>
          <w:p w:rsidR="00000000" w:rsidP="006B603C">
            <w:pPr>
              <w:pStyle w:val="List"/>
              <w:rPr>
                <w:lang w:val="en-NZ"/>
              </w:rPr>
            </w:pPr>
            <w:r w:rsidRPr="006B603C">
              <w:t>1.4 Discuss impact of consumer debt on national economy</w:t>
            </w:r>
          </w:p>
        </w:tc>
      </w:tr>
      <w:tr w:rsidTr="006B603C">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603C">
            <w:pPr>
              <w:pStyle w:val="List"/>
              <w:rPr>
                <w:lang w:val="en-NZ"/>
              </w:rPr>
            </w:pPr>
            <w:r w:rsidRPr="006B603C">
              <w:t xml:space="preserve">2. Identify range of credit </w:t>
            </w:r>
            <w:r w:rsidRPr="006B603C">
              <w:t>options available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603C" w:rsidP="006B603C">
            <w:pPr>
              <w:pStyle w:val="List"/>
            </w:pPr>
            <w:r w:rsidRPr="006B603C">
              <w:t xml:space="preserve">2.1 Identify and compare types of credit facilities used by businesses </w:t>
            </w:r>
            <w:r w:rsidRPr="006B603C">
              <w:t>and by individuals</w:t>
            </w:r>
          </w:p>
          <w:p w:rsidR="00000000" w:rsidRPr="006B603C" w:rsidP="006B603C">
            <w:pPr>
              <w:pStyle w:val="List"/>
            </w:pPr>
            <w:r w:rsidRPr="006B603C">
              <w:t>2.2 Identify differences betwee</w:t>
            </w:r>
            <w:r w:rsidRPr="006B603C">
              <w:t xml:space="preserve">n unsecured and secured loans </w:t>
            </w:r>
          </w:p>
          <w:p w:rsidR="00000000" w:rsidP="006B603C">
            <w:pPr>
              <w:pStyle w:val="List"/>
              <w:rPr>
                <w:lang w:val="en-NZ"/>
              </w:rPr>
            </w:pPr>
            <w:r w:rsidRPr="006B603C">
              <w:t>2.3 Identify implications of default on secured loans to borrower</w:t>
            </w:r>
          </w:p>
        </w:tc>
      </w:tr>
      <w:tr w:rsidTr="006B603C">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603C">
            <w:pPr>
              <w:pStyle w:val="List"/>
              <w:rPr>
                <w:lang w:val="en-NZ"/>
              </w:rPr>
            </w:pPr>
            <w:r w:rsidRPr="006B603C">
              <w:t>3. Identify and compare costs of using credit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603C" w:rsidP="006B603C">
            <w:pPr>
              <w:pStyle w:val="List"/>
            </w:pPr>
            <w:r w:rsidRPr="006B603C">
              <w:t xml:space="preserve">3.1 Compare fees and costs associated with different types of credit options </w:t>
            </w:r>
          </w:p>
          <w:p w:rsidR="00000000" w:rsidRPr="006B603C" w:rsidP="006B603C">
            <w:pPr>
              <w:pStyle w:val="List"/>
            </w:pPr>
            <w:r w:rsidRPr="006B603C">
              <w:t xml:space="preserve">3.2 Compare features and associated risks of fixed versus variable interest rates </w:t>
            </w:r>
          </w:p>
          <w:p w:rsidR="00000000" w:rsidP="006B603C">
            <w:pPr>
              <w:pStyle w:val="List"/>
              <w:rPr>
                <w:lang w:val="en-NZ"/>
              </w:rPr>
            </w:pPr>
            <w:r w:rsidRPr="006B603C">
              <w:t xml:space="preserve">3.3 Identify ways to compare advertised interest rates and effects of fees and charges </w:t>
            </w:r>
          </w:p>
        </w:tc>
      </w:tr>
      <w:tr w:rsidTr="006B603C">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603C">
            <w:pPr>
              <w:pStyle w:val="List"/>
              <w:rPr>
                <w:lang w:val="en-NZ"/>
              </w:rPr>
            </w:pPr>
            <w:r w:rsidRPr="006B603C">
              <w:t>4. Identify effective use of consumer credit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603C" w:rsidP="006B603C">
            <w:pPr>
              <w:pStyle w:val="List"/>
            </w:pPr>
            <w:r w:rsidRPr="006B603C">
              <w:t>4.1 Identify ways to avoid excessive an</w:t>
            </w:r>
            <w:r w:rsidRPr="006B603C">
              <w:t xml:space="preserve">d unmanageable debt </w:t>
            </w:r>
          </w:p>
          <w:p w:rsidR="00000000" w:rsidRPr="006B603C" w:rsidP="006B603C">
            <w:pPr>
              <w:pStyle w:val="List"/>
            </w:pPr>
            <w:r w:rsidRPr="006B603C">
              <w:t xml:space="preserve">4.2 Identify strategies to minimise fees on credit </w:t>
            </w:r>
          </w:p>
          <w:p w:rsidR="00000000" w:rsidRPr="006B603C" w:rsidP="006B603C">
            <w:pPr>
              <w:pStyle w:val="List"/>
            </w:pPr>
            <w:r w:rsidRPr="006B603C">
              <w:t xml:space="preserve">4.3 Identify effects of meeting and not meeting minimum payments on credit cards </w:t>
            </w:r>
          </w:p>
          <w:p w:rsidR="00000000" w:rsidP="006B603C">
            <w:pPr>
              <w:pStyle w:val="List"/>
              <w:rPr>
                <w:lang w:val="en-NZ"/>
              </w:rPr>
            </w:pPr>
            <w:r w:rsidRPr="006B603C">
              <w:t xml:space="preserve">4.4 Identify ways to avoid credit card fraud </w:t>
            </w:r>
          </w:p>
        </w:tc>
      </w:tr>
      <w:tr w:rsidTr="006B603C">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603C">
            <w:pPr>
              <w:pStyle w:val="List"/>
              <w:rPr>
                <w:lang w:val="en-NZ"/>
              </w:rPr>
            </w:pPr>
            <w:r w:rsidRPr="006B603C">
              <w:t>5. Review personal credit rating and history</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603C" w:rsidP="006B603C">
            <w:pPr>
              <w:pStyle w:val="List"/>
            </w:pPr>
            <w:r w:rsidRPr="006B603C">
              <w:t>5.1 Ident</w:t>
            </w:r>
            <w:r w:rsidRPr="006B603C">
              <w:t xml:space="preserve">ify role of credit reference agencies </w:t>
            </w:r>
          </w:p>
          <w:p w:rsidR="00000000" w:rsidRPr="006B603C" w:rsidP="006B603C">
            <w:pPr>
              <w:pStyle w:val="List"/>
            </w:pPr>
            <w:r w:rsidRPr="006B603C">
              <w:t xml:space="preserve">5.2 Identify purpose and use of credit reference reports in assessing loan applications </w:t>
            </w:r>
          </w:p>
          <w:p w:rsidR="00000000" w:rsidRPr="006B603C" w:rsidP="006B603C">
            <w:pPr>
              <w:pStyle w:val="List"/>
            </w:pPr>
            <w:r w:rsidRPr="006B603C">
              <w:t xml:space="preserve">5.3 Identify implications of establishing a poor credit history </w:t>
            </w:r>
          </w:p>
          <w:p w:rsidR="00000000" w:rsidRPr="006B603C" w:rsidP="006B603C">
            <w:pPr>
              <w:pStyle w:val="List"/>
            </w:pPr>
            <w:r w:rsidRPr="006B603C">
              <w:t>5.4 Describe methods of obtaining own credit reference report a</w:t>
            </w:r>
            <w:r w:rsidRPr="006B603C">
              <w:t xml:space="preserve">nd identify information on right to access the report </w:t>
            </w:r>
          </w:p>
        </w:tc>
      </w:tr>
    </w:tbl>
    <w:p w:rsidR="00000000" w:rsidRPr="006B603C" w:rsidP="006B603C">
      <w:pPr>
        <w:pStyle w:val="BodyText"/>
      </w:pPr>
    </w:p>
    <w:p w:rsidR="00000000" w:rsidRPr="006B603C" w:rsidP="006B603C">
      <w:pPr>
        <w:pStyle w:val="AllowPageBreak"/>
      </w:pPr>
    </w:p>
    <w:p w:rsidR="00000000" w:rsidRPr="006B603C" w:rsidP="006B603C">
      <w:pPr>
        <w:pStyle w:val="Heading1"/>
      </w:pPr>
      <w:bookmarkStart w:id="5" w:name="O_1156964"/>
      <w:bookmarkEnd w:id="5"/>
      <w:r w:rsidRPr="006B603C">
        <w:t>Foundation Skills</w:t>
      </w:r>
    </w:p>
    <w:p w:rsidR="00000000" w:rsidRPr="002D6681" w:rsidP="002D6681">
      <w:pPr>
        <w:pStyle w:val="BodyText"/>
        <w:rPr>
          <w:i/>
        </w:rPr>
      </w:pPr>
      <w:r w:rsidRPr="002D6681">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652"/>
        <w:gridCol w:w="6916"/>
      </w:tblGrid>
      <w:tr w:rsidTr="006B603C">
        <w:tblPrEx>
          <w:tblW w:w="9568" w:type="dxa"/>
          <w:tblLayout w:type="fixed"/>
          <w:tblCellMar>
            <w:left w:w="62" w:type="dxa"/>
            <w:right w:w="62" w:type="dxa"/>
          </w:tblCellMar>
          <w:tblLook w:val="0000"/>
        </w:tblPrEx>
        <w:trPr>
          <w:tblHeader/>
        </w:trPr>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603C" w:rsidP="006B603C">
            <w:pPr>
              <w:pStyle w:val="BodyText"/>
            </w:pPr>
            <w:r w:rsidRPr="006B603C">
              <w:rPr>
                <w:rStyle w:val="SpecialBold"/>
              </w:rPr>
              <w:t>SK</w:t>
            </w:r>
            <w:r w:rsidRPr="006B603C">
              <w:rPr>
                <w:rStyle w:val="SpecialBold"/>
              </w:rPr>
              <w:t>ILL</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603C">
            <w:pPr>
              <w:pStyle w:val="BodyText"/>
              <w:rPr>
                <w:lang w:val="en-NZ"/>
              </w:rPr>
            </w:pPr>
            <w:r w:rsidRPr="006B603C">
              <w:rPr>
                <w:rStyle w:val="SpecialBold"/>
              </w:rPr>
              <w:t>DESCRIPTION</w:t>
            </w:r>
          </w:p>
        </w:tc>
      </w:tr>
      <w:tr w:rsidTr="006B603C">
        <w:tblPrEx>
          <w:tblW w:w="9568" w:type="dxa"/>
          <w:tblLayout w:type="fixed"/>
          <w:tblCellMar>
            <w:left w:w="62" w:type="dxa"/>
            <w:right w:w="62" w:type="dxa"/>
          </w:tblCellMar>
          <w:tblLook w:val="0000"/>
        </w:tblPrEx>
        <w:trPr>
          <w:trHeight w:val="579"/>
        </w:trPr>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603C">
            <w:pPr>
              <w:pStyle w:val="BodyText"/>
              <w:rPr>
                <w:lang w:val="en-NZ"/>
              </w:rPr>
            </w:pPr>
            <w:r w:rsidRPr="006B603C">
              <w:t>Numeracy</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603C">
            <w:pPr>
              <w:pStyle w:val="ListBullet"/>
              <w:rPr>
                <w:lang w:val="en-NZ"/>
              </w:rPr>
            </w:pPr>
            <w:r w:rsidRPr="006B603C">
              <w:t xml:space="preserve">Performs a range of mathematical calculations to interpret the impact of varying fees and costs and to compare financial information </w:t>
            </w:r>
          </w:p>
        </w:tc>
      </w:tr>
      <w:tr w:rsidTr="006B603C">
        <w:tblPrEx>
          <w:tblW w:w="9568" w:type="dxa"/>
          <w:tblLayout w:type="fixed"/>
          <w:tblCellMar>
            <w:left w:w="62" w:type="dxa"/>
            <w:right w:w="62" w:type="dxa"/>
          </w:tblCellMar>
          <w:tblLook w:val="0000"/>
        </w:tblPrEx>
        <w:trPr>
          <w:trHeight w:val="579"/>
        </w:trPr>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603C">
            <w:pPr>
              <w:pStyle w:val="BodyText"/>
              <w:rPr>
                <w:lang w:val="en-NZ"/>
              </w:rPr>
            </w:pPr>
            <w:r w:rsidRPr="006B603C">
              <w:t>Oral communication</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603C">
            <w:pPr>
              <w:pStyle w:val="ListBullet"/>
              <w:rPr>
                <w:lang w:val="en-NZ"/>
              </w:rPr>
            </w:pPr>
            <w:r w:rsidRPr="006B603C">
              <w:t xml:space="preserve">Participates in verbal exchanges using active listening and questioning to elicit information and develop a clear understanding </w:t>
            </w:r>
          </w:p>
        </w:tc>
      </w:tr>
      <w:tr w:rsidTr="006B603C">
        <w:tblPrEx>
          <w:tblW w:w="9568" w:type="dxa"/>
          <w:tblLayout w:type="fixed"/>
          <w:tblCellMar>
            <w:left w:w="62" w:type="dxa"/>
            <w:right w:w="62" w:type="dxa"/>
          </w:tblCellMar>
          <w:tblLook w:val="0000"/>
        </w:tblPrEx>
        <w:trPr>
          <w:trHeight w:val="579"/>
        </w:trPr>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603C">
            <w:pPr>
              <w:pStyle w:val="BodyText"/>
              <w:rPr>
                <w:lang w:val="en-NZ"/>
              </w:rPr>
            </w:pPr>
            <w:r w:rsidRPr="006B603C">
              <w:t>Reading</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603C">
            <w:pPr>
              <w:pStyle w:val="ListBullet"/>
              <w:rPr>
                <w:lang w:val="en-NZ"/>
              </w:rPr>
            </w:pPr>
            <w:r w:rsidRPr="006B603C">
              <w:t>Researches, interprets and compares written information from a range of sources to identify key details relevant to t</w:t>
            </w:r>
            <w:r w:rsidRPr="006B603C">
              <w:t>he enquiry</w:t>
            </w:r>
          </w:p>
        </w:tc>
      </w:tr>
      <w:tr w:rsidTr="006B603C">
        <w:tblPrEx>
          <w:tblW w:w="9568" w:type="dxa"/>
          <w:tblLayout w:type="fixed"/>
          <w:tblCellMar>
            <w:left w:w="62" w:type="dxa"/>
            <w:right w:w="62" w:type="dxa"/>
          </w:tblCellMar>
          <w:tblLook w:val="0000"/>
        </w:tblPrEx>
        <w:trPr>
          <w:trHeight w:val="579"/>
        </w:trPr>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603C">
            <w:pPr>
              <w:pStyle w:val="BodyText"/>
              <w:rPr>
                <w:lang w:val="en-NZ"/>
              </w:rPr>
            </w:pPr>
            <w:r w:rsidRPr="006B603C">
              <w:t>Writing</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B603C" w:rsidP="006B603C">
            <w:pPr>
              <w:pStyle w:val="ListBullet"/>
            </w:pPr>
            <w:r w:rsidRPr="006B603C">
              <w:t xml:space="preserve">Documents information using correct spelling, grammar and terminology </w:t>
            </w:r>
          </w:p>
          <w:p w:rsidR="00000000" w:rsidP="006B603C">
            <w:pPr>
              <w:pStyle w:val="ListBullet"/>
              <w:rPr>
                <w:lang w:val="en-NZ"/>
              </w:rPr>
            </w:pPr>
            <w:r w:rsidRPr="006B603C">
              <w:t>Describes concepts accurately and in a format appropriate for the audience and purpose</w:t>
            </w:r>
          </w:p>
        </w:tc>
      </w:tr>
      <w:tr w:rsidTr="006B603C">
        <w:tblPrEx>
          <w:tblW w:w="9568" w:type="dxa"/>
          <w:tblLayout w:type="fixed"/>
          <w:tblCellMar>
            <w:left w:w="62" w:type="dxa"/>
            <w:right w:w="62" w:type="dxa"/>
          </w:tblCellMar>
          <w:tblLook w:val="0000"/>
        </w:tblPrEx>
        <w:trPr>
          <w:trHeight w:val="579"/>
        </w:trPr>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603C">
            <w:pPr>
              <w:pStyle w:val="BodyText"/>
              <w:rPr>
                <w:lang w:val="en-NZ"/>
              </w:rPr>
            </w:pPr>
            <w:r w:rsidRPr="006B603C">
              <w:t xml:space="preserve">Self-management </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B603C" w:rsidP="006B603C">
            <w:pPr>
              <w:pStyle w:val="ListBullet"/>
            </w:pPr>
            <w:r w:rsidRPr="006B603C">
              <w:t>Identifies, confirms and understands regulatory requirements</w:t>
            </w:r>
          </w:p>
          <w:p w:rsidR="00000000" w:rsidP="006B603C">
            <w:pPr>
              <w:pStyle w:val="ListBullet"/>
              <w:rPr>
                <w:lang w:val="en-NZ"/>
              </w:rPr>
            </w:pPr>
            <w:r w:rsidRPr="006B603C">
              <w:t xml:space="preserve">Maintains up-to-date knowledge of debt and consumer credit required for own situation </w:t>
            </w:r>
          </w:p>
        </w:tc>
      </w:tr>
      <w:tr w:rsidTr="006B603C">
        <w:tblPrEx>
          <w:tblW w:w="9568" w:type="dxa"/>
          <w:tblLayout w:type="fixed"/>
          <w:tblCellMar>
            <w:left w:w="62" w:type="dxa"/>
            <w:right w:w="62" w:type="dxa"/>
          </w:tblCellMar>
          <w:tblLook w:val="0000"/>
        </w:tblPrEx>
        <w:trPr>
          <w:trHeight w:val="80"/>
        </w:trPr>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603C">
            <w:pPr>
              <w:pStyle w:val="BodyText"/>
              <w:rPr>
                <w:lang w:val="en-NZ"/>
              </w:rPr>
            </w:pPr>
            <w:r w:rsidRPr="006B603C">
              <w:t>Technology</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B603C" w:rsidP="006B603C">
            <w:pPr>
              <w:pStyle w:val="ListBullet"/>
            </w:pPr>
            <w:r w:rsidRPr="006B603C">
              <w:t>Uses digital systems and tools to conduct research and complete tasks</w:t>
            </w:r>
          </w:p>
        </w:tc>
      </w:tr>
    </w:tbl>
    <w:p w:rsidR="00000000" w:rsidRPr="006B603C" w:rsidP="006B603C">
      <w:pPr>
        <w:pStyle w:val="BodyText"/>
      </w:pPr>
    </w:p>
    <w:p w:rsidR="00000000" w:rsidRPr="006B603C" w:rsidP="006B603C">
      <w:pPr>
        <w:pStyle w:val="AllowPageBreak"/>
      </w:pPr>
    </w:p>
    <w:p w:rsidR="00000000" w:rsidRPr="006B603C" w:rsidP="006B603C">
      <w:pPr>
        <w:pStyle w:val="Heading1"/>
      </w:pPr>
      <w:bookmarkStart w:id="6" w:name="O_1156963"/>
      <w:bookmarkEnd w:id="6"/>
      <w:r w:rsidRPr="006B603C">
        <w:t>Unit Mapping Information</w:t>
      </w:r>
    </w:p>
    <w:p w:rsidR="00000000" w:rsidRPr="006B603C" w:rsidP="002D6681">
      <w:pPr>
        <w:pStyle w:val="BodyText"/>
      </w:pPr>
      <w:r w:rsidRPr="006B603C">
        <w:t>Supersedes and is equivalent to FNSFLT203 Develop knowledge of debt and consumer credit.</w:t>
      </w:r>
    </w:p>
    <w:p w:rsidR="00000000" w:rsidRPr="006B603C" w:rsidP="006B603C">
      <w:pPr>
        <w:pStyle w:val="Heading1"/>
      </w:pPr>
      <w:bookmarkStart w:id="7" w:name="O_1156956"/>
      <w:bookmarkEnd w:id="7"/>
      <w:r w:rsidRPr="006B603C">
        <w:t>Links</w:t>
      </w:r>
    </w:p>
    <w:p w:rsidR="00000000" w:rsidRPr="006B603C" w:rsidP="002D6681">
      <w:pPr>
        <w:pStyle w:val="BodyText"/>
      </w:pPr>
      <w:r w:rsidRPr="006B603C">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0B7F0B">
        <w:rPr>
          <w:rStyle w:val="Hyperlink"/>
        </w:rPr>
        <w:t>https://vetnet.gov.au/Pages/TrainingDocs.aspx?q=c7200cc8-0566-4f04-b76f-e89fd6f102fe</w:t>
      </w:r>
      <w:r>
        <w:fldChar w:fldCharType="end"/>
      </w:r>
    </w:p>
    <w:p w:rsidR="00000000" w:rsidRPr="006B603C" w:rsidP="006B603C"/>
    <w:sectPr w:rsidSect="006B603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0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03C" w:rsidRPr="002D6681" w:rsidP="002D66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0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681" w:rsidP="006B60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D6681" w:rsidP="006B603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2D6681" w:rsidP="006B60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0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6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603C" w:rsidRPr="002D6681" w:rsidP="002D66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0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681" w:rsidRPr="002D2AF8" w:rsidP="006B603C">
    <w:pPr>
      <w:pStyle w:val="Header"/>
      <w:framePr w:wrap="around"/>
    </w:pPr>
    <w:r>
      <w:fldChar w:fldCharType="begin"/>
    </w:r>
    <w:r>
      <w:instrText xml:space="preserve"> TITLE   \* MERGEFORMAT </w:instrText>
    </w:r>
    <w:r>
      <w:fldChar w:fldCharType="separate"/>
    </w:r>
    <w:r>
      <w:t>FNSFLT213 Develop knowledge of debt and consumer credit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2D6681" w:rsidP="006B60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3E6DC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28845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60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603C"/>
    <w:pPr>
      <w:spacing w:before="360" w:after="60"/>
      <w:outlineLvl w:val="0"/>
    </w:pPr>
    <w:rPr>
      <w:sz w:val="32"/>
    </w:rPr>
  </w:style>
  <w:style w:type="paragraph" w:styleId="Heading2">
    <w:name w:val="heading 2"/>
    <w:basedOn w:val="HeadingBase"/>
    <w:next w:val="BodyText"/>
    <w:link w:val="Heading2Char"/>
    <w:qFormat/>
    <w:rsid w:val="006B603C"/>
    <w:pPr>
      <w:keepLines/>
      <w:spacing w:before="240" w:after="120"/>
      <w:outlineLvl w:val="1"/>
    </w:pPr>
    <w:rPr>
      <w:sz w:val="28"/>
      <w:szCs w:val="40"/>
    </w:rPr>
  </w:style>
  <w:style w:type="paragraph" w:styleId="Heading3">
    <w:name w:val="heading 3"/>
    <w:basedOn w:val="HeadingBase"/>
    <w:next w:val="BodyText"/>
    <w:link w:val="Heading3Char"/>
    <w:qFormat/>
    <w:rsid w:val="006B603C"/>
    <w:pPr>
      <w:spacing w:before="180" w:after="120"/>
      <w:outlineLvl w:val="2"/>
    </w:pPr>
    <w:rPr>
      <w:spacing w:val="-10"/>
      <w:kern w:val="32"/>
    </w:rPr>
  </w:style>
  <w:style w:type="paragraph" w:styleId="Heading4">
    <w:name w:val="heading 4"/>
    <w:basedOn w:val="HeadingBase"/>
    <w:next w:val="BodyText"/>
    <w:link w:val="Heading4Char"/>
    <w:qFormat/>
    <w:rsid w:val="006B603C"/>
    <w:pPr>
      <w:spacing w:before="160" w:after="120"/>
      <w:outlineLvl w:val="3"/>
    </w:pPr>
    <w:rPr>
      <w:sz w:val="22"/>
    </w:rPr>
  </w:style>
  <w:style w:type="paragraph" w:styleId="Heading5">
    <w:name w:val="heading 5"/>
    <w:basedOn w:val="HeadingBase"/>
    <w:next w:val="Normal"/>
    <w:link w:val="Heading5Char"/>
    <w:qFormat/>
    <w:rsid w:val="006B603C"/>
    <w:pPr>
      <w:spacing w:before="80"/>
      <w:outlineLvl w:val="4"/>
    </w:pPr>
    <w:rPr>
      <w:color w:val="918585"/>
      <w:sz w:val="20"/>
    </w:rPr>
  </w:style>
  <w:style w:type="paragraph" w:styleId="Heading6">
    <w:name w:val="heading 6"/>
    <w:basedOn w:val="HeadingBase"/>
    <w:next w:val="Normal"/>
    <w:link w:val="Heading6Char"/>
    <w:qFormat/>
    <w:rsid w:val="006B603C"/>
    <w:pPr>
      <w:spacing w:before="60"/>
      <w:outlineLvl w:val="5"/>
    </w:pPr>
    <w:rPr>
      <w:color w:val="918585"/>
      <w:sz w:val="20"/>
    </w:rPr>
  </w:style>
  <w:style w:type="paragraph" w:styleId="Heading7">
    <w:name w:val="heading 7"/>
    <w:basedOn w:val="Normal"/>
    <w:next w:val="Normal"/>
    <w:link w:val="Heading7Char"/>
    <w:qFormat/>
    <w:rsid w:val="006B603C"/>
    <w:pPr>
      <w:ind w:left="720"/>
      <w:outlineLvl w:val="6"/>
    </w:pPr>
    <w:rPr>
      <w:i/>
    </w:rPr>
  </w:style>
  <w:style w:type="paragraph" w:styleId="Heading8">
    <w:name w:val="heading 8"/>
    <w:basedOn w:val="Normal"/>
    <w:next w:val="Normal"/>
    <w:link w:val="Heading8Char"/>
    <w:qFormat/>
    <w:rsid w:val="006B603C"/>
    <w:pPr>
      <w:ind w:left="720"/>
      <w:outlineLvl w:val="7"/>
    </w:pPr>
    <w:rPr>
      <w:i/>
    </w:rPr>
  </w:style>
  <w:style w:type="paragraph" w:styleId="Heading9">
    <w:name w:val="heading 9"/>
    <w:basedOn w:val="Normal"/>
    <w:next w:val="Normal"/>
    <w:link w:val="Heading9Char"/>
    <w:qFormat/>
    <w:rsid w:val="006B603C"/>
    <w:pPr>
      <w:ind w:left="720"/>
      <w:outlineLvl w:val="8"/>
    </w:pPr>
    <w:rPr>
      <w:i/>
    </w:rPr>
  </w:style>
  <w:style w:type="character" w:default="1" w:styleId="DefaultParagraphFont">
    <w:name w:val="Default Paragraph Font"/>
    <w:uiPriority w:val="1"/>
    <w:unhideWhenUsed/>
    <w:rsid w:val="006B60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603C"/>
  </w:style>
  <w:style w:type="character" w:customStyle="1" w:styleId="Heading1Char">
    <w:name w:val="Heading 1 Char"/>
    <w:basedOn w:val="DefaultParagraphFont"/>
    <w:link w:val="Heading1"/>
    <w:rsid w:val="006B603C"/>
    <w:rPr>
      <w:rFonts w:ascii="Times New Roman" w:eastAsia="Times New Roman" w:hAnsi="Times New Roman" w:cs="Times New Roman"/>
      <w:b/>
      <w:sz w:val="32"/>
      <w:szCs w:val="20"/>
      <w:lang w:eastAsia="en-US"/>
    </w:rPr>
  </w:style>
  <w:style w:type="paragraph" w:styleId="BodyText">
    <w:name w:val="Body Text"/>
    <w:basedOn w:val="Normal"/>
    <w:link w:val="BodyTextChar"/>
    <w:rsid w:val="006B60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603C"/>
    <w:rPr>
      <w:rFonts w:ascii="Times New Roman" w:eastAsia="Times New Roman" w:hAnsi="Times New Roman" w:cs="Times New Roman"/>
      <w:sz w:val="24"/>
      <w:lang w:eastAsia="en-US"/>
    </w:rPr>
  </w:style>
  <w:style w:type="paragraph" w:styleId="List">
    <w:name w:val="List"/>
    <w:basedOn w:val="BodyText"/>
    <w:next w:val="BodyText"/>
    <w:rsid w:val="006B603C"/>
    <w:pPr>
      <w:tabs>
        <w:tab w:val="left" w:pos="340"/>
      </w:tabs>
      <w:spacing w:before="60" w:after="60"/>
      <w:ind w:left="340" w:hanging="340"/>
    </w:pPr>
  </w:style>
  <w:style w:type="paragraph" w:styleId="ListBullet">
    <w:name w:val="List Bullet"/>
    <w:basedOn w:val="List"/>
    <w:rsid w:val="006B603C"/>
    <w:pPr>
      <w:numPr>
        <w:numId w:val="11"/>
      </w:numPr>
      <w:tabs>
        <w:tab w:val="clear" w:pos="340"/>
      </w:tabs>
      <w:spacing w:before="40" w:after="40"/>
    </w:pPr>
  </w:style>
  <w:style w:type="character" w:customStyle="1" w:styleId="SpecialBold">
    <w:name w:val="Special Bold"/>
    <w:basedOn w:val="DefaultParagraphFont"/>
    <w:rsid w:val="006B603C"/>
    <w:rPr>
      <w:b/>
      <w:spacing w:val="0"/>
    </w:rPr>
  </w:style>
  <w:style w:type="character" w:styleId="Emphasis">
    <w:name w:val="Emphasis"/>
    <w:basedOn w:val="DefaultParagraphFont"/>
    <w:qFormat/>
    <w:rsid w:val="006B603C"/>
    <w:rPr>
      <w:i/>
    </w:rPr>
  </w:style>
  <w:style w:type="paragraph" w:customStyle="1" w:styleId="SuperHeading">
    <w:name w:val="SuperHeading"/>
    <w:basedOn w:val="Normal"/>
    <w:rsid w:val="006B603C"/>
    <w:pPr>
      <w:spacing w:before="240" w:after="120"/>
      <w:outlineLvl w:val="0"/>
    </w:pPr>
    <w:rPr>
      <w:rFonts w:ascii="Times New Roman" w:hAnsi="Times New Roman"/>
      <w:b/>
      <w:sz w:val="32"/>
    </w:rPr>
  </w:style>
  <w:style w:type="paragraph" w:customStyle="1" w:styleId="AllowPageBreak">
    <w:name w:val="AllowPageBreak"/>
    <w:rsid w:val="006B60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60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60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60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60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60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60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60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603C"/>
    <w:rPr>
      <w:rFonts w:ascii="Courier New" w:eastAsia="Times New Roman" w:hAnsi="Courier New" w:cs="Times New Roman"/>
      <w:i/>
      <w:szCs w:val="20"/>
      <w:lang w:eastAsia="en-US"/>
    </w:rPr>
  </w:style>
  <w:style w:type="paragraph" w:customStyle="1" w:styleId="HeadingBase">
    <w:name w:val="Heading Base"/>
    <w:rsid w:val="006B60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603C"/>
    <w:pPr>
      <w:tabs>
        <w:tab w:val="right" w:leader="dot" w:pos="9072"/>
      </w:tabs>
      <w:ind w:left="567"/>
    </w:pPr>
    <w:rPr>
      <w:szCs w:val="22"/>
    </w:rPr>
  </w:style>
  <w:style w:type="paragraph" w:customStyle="1" w:styleId="TOCBase">
    <w:name w:val="TOC Base"/>
    <w:rsid w:val="006B60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603C"/>
    <w:pPr>
      <w:tabs>
        <w:tab w:val="right" w:leader="dot" w:pos="9072"/>
      </w:tabs>
      <w:spacing w:before="40" w:after="40"/>
      <w:ind w:left="284"/>
    </w:pPr>
    <w:rPr>
      <w:rFonts w:ascii="Times New Roman" w:hAnsi="Times New Roman"/>
    </w:rPr>
  </w:style>
  <w:style w:type="paragraph" w:styleId="TOC1">
    <w:name w:val="toc 1"/>
    <w:basedOn w:val="TOCBase"/>
    <w:next w:val="Normal"/>
    <w:rsid w:val="006B60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60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603C"/>
    <w:rPr>
      <w:rFonts w:ascii="Times New Roman" w:eastAsia="Times New Roman" w:hAnsi="Times New Roman" w:cs="Times New Roman"/>
      <w:sz w:val="16"/>
      <w:lang w:eastAsia="en-US"/>
    </w:rPr>
  </w:style>
  <w:style w:type="paragraph" w:styleId="Title">
    <w:name w:val="Title"/>
    <w:basedOn w:val="HeadingBase"/>
    <w:link w:val="TitleChar"/>
    <w:qFormat/>
    <w:rsid w:val="006B603C"/>
    <w:pPr>
      <w:spacing w:before="5040"/>
      <w:jc w:val="center"/>
    </w:pPr>
    <w:rPr>
      <w:sz w:val="48"/>
      <w:szCs w:val="72"/>
      <w:lang w:val="en-US"/>
    </w:rPr>
  </w:style>
  <w:style w:type="character" w:customStyle="1" w:styleId="TitleChar">
    <w:name w:val="Title Char"/>
    <w:basedOn w:val="DefaultParagraphFont"/>
    <w:link w:val="Title"/>
    <w:rsid w:val="006B60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603C"/>
    <w:pPr>
      <w:tabs>
        <w:tab w:val="left" w:pos="3600"/>
        <w:tab w:val="left" w:pos="3958"/>
      </w:tabs>
    </w:pPr>
  </w:style>
  <w:style w:type="paragraph" w:customStyle="1" w:styleId="Note">
    <w:name w:val="Note"/>
    <w:basedOn w:val="BodyText"/>
    <w:rsid w:val="006B60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603C"/>
    <w:pPr>
      <w:framePr w:wrap="auto" w:hAnchor="text" w:y="6049"/>
    </w:pPr>
    <w:rPr>
      <w:color w:val="000000"/>
      <w:sz w:val="40"/>
    </w:rPr>
  </w:style>
  <w:style w:type="paragraph" w:customStyle="1" w:styleId="TOCTitle">
    <w:name w:val="TOCTitle"/>
    <w:basedOn w:val="Heading1"/>
    <w:rsid w:val="006B603C"/>
    <w:pPr>
      <w:spacing w:after="240"/>
      <w:jc w:val="center"/>
      <w:outlineLvl w:val="9"/>
    </w:pPr>
    <w:rPr>
      <w:caps/>
    </w:rPr>
  </w:style>
  <w:style w:type="paragraph" w:customStyle="1" w:styleId="Version">
    <w:name w:val="Version"/>
    <w:rsid w:val="006B603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B603C"/>
    <w:pPr>
      <w:numPr>
        <w:numId w:val="12"/>
      </w:numPr>
      <w:tabs>
        <w:tab w:val="clear" w:pos="680"/>
      </w:tabs>
    </w:pPr>
  </w:style>
  <w:style w:type="paragraph" w:styleId="Index1">
    <w:name w:val="index 1"/>
    <w:basedOn w:val="Normal"/>
    <w:next w:val="Normal"/>
    <w:semiHidden/>
    <w:rsid w:val="006B603C"/>
    <w:pPr>
      <w:keepNext w:val="0"/>
      <w:tabs>
        <w:tab w:val="right" w:pos="4176"/>
      </w:tabs>
      <w:ind w:left="198" w:hanging="198"/>
    </w:pPr>
    <w:rPr>
      <w:rFonts w:ascii="Garamond" w:hAnsi="Garamond"/>
    </w:rPr>
  </w:style>
  <w:style w:type="paragraph" w:styleId="IndexHeading">
    <w:name w:val="index heading"/>
    <w:basedOn w:val="Normal"/>
    <w:next w:val="Index1"/>
    <w:semiHidden/>
    <w:rsid w:val="006B603C"/>
    <w:pPr>
      <w:spacing w:before="120" w:after="120"/>
    </w:pPr>
    <w:rPr>
      <w:rFonts w:ascii="Arial" w:hAnsi="Arial"/>
      <w:b/>
      <w:color w:val="918585"/>
      <w:sz w:val="24"/>
    </w:rPr>
  </w:style>
  <w:style w:type="paragraph" w:styleId="Header">
    <w:name w:val="header"/>
    <w:basedOn w:val="Normal"/>
    <w:link w:val="HeaderChar"/>
    <w:rsid w:val="006B60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603C"/>
    <w:rPr>
      <w:rFonts w:ascii="Times New Roman" w:eastAsia="Times New Roman" w:hAnsi="Times New Roman" w:cs="Times New Roman"/>
      <w:sz w:val="16"/>
      <w:szCs w:val="20"/>
      <w:lang w:val="en-GB" w:eastAsia="en-US"/>
    </w:rPr>
  </w:style>
  <w:style w:type="paragraph" w:customStyle="1" w:styleId="Chapter">
    <w:name w:val="Chapter"/>
    <w:basedOn w:val="Normal"/>
    <w:rsid w:val="006B603C"/>
    <w:pPr>
      <w:spacing w:before="240"/>
    </w:pPr>
    <w:rPr>
      <w:rFonts w:ascii="Times New Roman" w:hAnsi="Times New Roman"/>
      <w:smallCaps/>
      <w:spacing w:val="80"/>
      <w:sz w:val="28"/>
    </w:rPr>
  </w:style>
  <w:style w:type="paragraph" w:customStyle="1" w:styleId="InChapter">
    <w:name w:val="InChapter"/>
    <w:basedOn w:val="Heading3"/>
    <w:rsid w:val="006B603C"/>
    <w:pPr>
      <w:spacing w:after="240"/>
      <w:outlineLvl w:val="9"/>
    </w:pPr>
    <w:rPr>
      <w:noProof/>
    </w:rPr>
  </w:style>
  <w:style w:type="paragraph" w:styleId="Index2">
    <w:name w:val="index 2"/>
    <w:basedOn w:val="Normal"/>
    <w:next w:val="Normal"/>
    <w:semiHidden/>
    <w:rsid w:val="006B603C"/>
    <w:pPr>
      <w:tabs>
        <w:tab w:val="right" w:pos="4176"/>
      </w:tabs>
      <w:ind w:left="568" w:hanging="284"/>
    </w:pPr>
    <w:rPr>
      <w:rFonts w:ascii="Garamond" w:hAnsi="Garamond"/>
    </w:rPr>
  </w:style>
  <w:style w:type="paragraph" w:customStyle="1" w:styleId="Byline">
    <w:name w:val="Byline"/>
    <w:rsid w:val="006B60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603C"/>
    <w:pPr>
      <w:tabs>
        <w:tab w:val="clear" w:pos="3600"/>
        <w:tab w:val="clear" w:pos="3958"/>
      </w:tabs>
      <w:jc w:val="right"/>
    </w:pPr>
  </w:style>
  <w:style w:type="paragraph" w:styleId="Caption">
    <w:name w:val="caption"/>
    <w:basedOn w:val="BodyText"/>
    <w:next w:val="Normal"/>
    <w:qFormat/>
    <w:rsid w:val="006B603C"/>
    <w:pPr>
      <w:framePr w:w="2268" w:hSpace="181" w:vSpace="181" w:wrap="around" w:vAnchor="text" w:hAnchor="page" w:x="1135" w:y="285" w:anchorLock="1"/>
    </w:pPr>
    <w:rPr>
      <w:i/>
    </w:rPr>
  </w:style>
  <w:style w:type="paragraph" w:customStyle="1" w:styleId="MiniTOCTitle">
    <w:name w:val="MiniTOCTitle"/>
    <w:basedOn w:val="Heading4"/>
    <w:rsid w:val="006B603C"/>
    <w:pPr>
      <w:spacing w:before="240"/>
      <w:outlineLvl w:val="9"/>
    </w:pPr>
    <w:rPr>
      <w:noProof/>
      <w:sz w:val="24"/>
    </w:rPr>
  </w:style>
  <w:style w:type="paragraph" w:customStyle="1" w:styleId="MiniTOCItem">
    <w:name w:val="MiniTOCItem"/>
    <w:basedOn w:val="ListBullet"/>
    <w:rsid w:val="006B603C"/>
    <w:pPr>
      <w:numPr>
        <w:numId w:val="0"/>
      </w:numPr>
      <w:tabs>
        <w:tab w:val="right" w:leader="dot" w:pos="6521"/>
      </w:tabs>
      <w:spacing w:before="0" w:after="0"/>
    </w:pPr>
  </w:style>
  <w:style w:type="paragraph" w:customStyle="1" w:styleId="TOFTitle">
    <w:name w:val="TOFTitle"/>
    <w:basedOn w:val="TOCTitle"/>
    <w:rsid w:val="006B603C"/>
  </w:style>
  <w:style w:type="paragraph" w:styleId="TableofFigures">
    <w:name w:val="table of figures"/>
    <w:basedOn w:val="Normal"/>
    <w:next w:val="Normal"/>
    <w:semiHidden/>
    <w:rsid w:val="006B603C"/>
    <w:pPr>
      <w:tabs>
        <w:tab w:val="right" w:leader="dot" w:pos="9072"/>
      </w:tabs>
      <w:ind w:left="970" w:hanging="403"/>
    </w:pPr>
    <w:rPr>
      <w:rFonts w:ascii="Times New Roman" w:hAnsi="Times New Roman"/>
      <w:b/>
    </w:rPr>
  </w:style>
  <w:style w:type="paragraph" w:styleId="ListNumber">
    <w:name w:val="List Number"/>
    <w:basedOn w:val="List"/>
    <w:rsid w:val="006B603C"/>
    <w:pPr>
      <w:numPr>
        <w:numId w:val="14"/>
      </w:numPr>
      <w:tabs>
        <w:tab w:val="clear" w:pos="340"/>
      </w:tabs>
    </w:pPr>
  </w:style>
  <w:style w:type="character" w:customStyle="1" w:styleId="WingdingSymbols">
    <w:name w:val="Wingding Symbols"/>
    <w:rsid w:val="006B603C"/>
    <w:rPr>
      <w:rFonts w:ascii="Wingdings" w:hAnsi="Wingdings"/>
    </w:rPr>
  </w:style>
  <w:style w:type="paragraph" w:customStyle="1" w:styleId="TableHeading">
    <w:name w:val="Table Heading"/>
    <w:basedOn w:val="HeadingBase"/>
    <w:rsid w:val="006B603C"/>
    <w:pPr>
      <w:keepLines/>
      <w:pBdr>
        <w:bottom w:val="single" w:sz="6" w:space="1" w:color="918585"/>
      </w:pBdr>
      <w:spacing w:before="240"/>
    </w:pPr>
  </w:style>
  <w:style w:type="character" w:customStyle="1" w:styleId="HotSpot">
    <w:name w:val="HotSpot"/>
    <w:rsid w:val="006B603C"/>
    <w:rPr>
      <w:color w:val="0033CC"/>
      <w:u w:val="none"/>
    </w:rPr>
  </w:style>
  <w:style w:type="paragraph" w:customStyle="1" w:styleId="BodyTextRight">
    <w:name w:val="Body Text Right"/>
    <w:basedOn w:val="BodyText"/>
    <w:rsid w:val="006B603C"/>
    <w:pPr>
      <w:spacing w:before="0" w:after="0"/>
      <w:jc w:val="right"/>
    </w:pPr>
  </w:style>
  <w:style w:type="paragraph" w:styleId="Index3">
    <w:name w:val="index 3"/>
    <w:basedOn w:val="ListNumber2"/>
    <w:next w:val="Normal"/>
    <w:semiHidden/>
    <w:rsid w:val="006B603C"/>
    <w:pPr>
      <w:numPr>
        <w:numId w:val="0"/>
      </w:numPr>
      <w:tabs>
        <w:tab w:val="right" w:leader="dot" w:pos="4176"/>
      </w:tabs>
    </w:pPr>
  </w:style>
  <w:style w:type="paragraph" w:styleId="ListNumber2">
    <w:name w:val="List Number 2"/>
    <w:basedOn w:val="List2"/>
    <w:rsid w:val="006B603C"/>
    <w:pPr>
      <w:numPr>
        <w:numId w:val="9"/>
      </w:numPr>
      <w:tabs>
        <w:tab w:val="clear" w:pos="1060"/>
      </w:tabs>
    </w:pPr>
  </w:style>
  <w:style w:type="paragraph" w:customStyle="1" w:styleId="MarginNote">
    <w:name w:val="Margin Note"/>
    <w:basedOn w:val="BodyText"/>
    <w:rsid w:val="006B60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60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60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603C"/>
    <w:rPr>
      <w:sz w:val="32"/>
    </w:rPr>
  </w:style>
  <w:style w:type="paragraph" w:customStyle="1" w:styleId="HeadingProcedure">
    <w:name w:val="Heading Procedure"/>
    <w:basedOn w:val="HeadingBase"/>
    <w:next w:val="Normal"/>
    <w:rsid w:val="006B603C"/>
    <w:pPr>
      <w:tabs>
        <w:tab w:val="left" w:pos="0"/>
      </w:tabs>
      <w:spacing w:before="120" w:after="60"/>
    </w:pPr>
    <w:rPr>
      <w:i/>
      <w:color w:val="918585"/>
      <w:sz w:val="22"/>
    </w:rPr>
  </w:style>
  <w:style w:type="paragraph" w:customStyle="1" w:styleId="TableBodyText">
    <w:name w:val="Table Body Text"/>
    <w:basedOn w:val="BodyText"/>
    <w:rsid w:val="006B603C"/>
    <w:pPr>
      <w:spacing w:before="60" w:after="60"/>
    </w:pPr>
  </w:style>
  <w:style w:type="paragraph" w:styleId="ListContinue">
    <w:name w:val="List Continue"/>
    <w:basedOn w:val="List"/>
    <w:rsid w:val="006B603C"/>
    <w:pPr>
      <w:ind w:firstLine="0"/>
    </w:pPr>
  </w:style>
  <w:style w:type="paragraph" w:customStyle="1" w:styleId="ListNote">
    <w:name w:val="List Note"/>
    <w:basedOn w:val="List"/>
    <w:rsid w:val="006B603C"/>
    <w:pPr>
      <w:pBdr>
        <w:top w:val="single" w:sz="6" w:space="2" w:color="918585"/>
        <w:bottom w:val="single" w:sz="6" w:space="2" w:color="918585"/>
      </w:pBdr>
      <w:tabs>
        <w:tab w:val="left" w:pos="1021"/>
      </w:tabs>
      <w:ind w:firstLine="0"/>
    </w:pPr>
  </w:style>
  <w:style w:type="paragraph" w:customStyle="1" w:styleId="Warning">
    <w:name w:val="Warning"/>
    <w:basedOn w:val="BodyText"/>
    <w:rsid w:val="006B603C"/>
    <w:pPr>
      <w:shd w:val="clear" w:color="auto" w:fill="D9D9D9"/>
      <w:tabs>
        <w:tab w:val="left" w:pos="992"/>
      </w:tabs>
      <w:ind w:left="119" w:right="119"/>
    </w:pPr>
    <w:rPr>
      <w:sz w:val="20"/>
    </w:rPr>
  </w:style>
  <w:style w:type="paragraph" w:customStyle="1" w:styleId="MarginIcons">
    <w:name w:val="Margin Icons"/>
    <w:basedOn w:val="BodyText"/>
    <w:rsid w:val="006B60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603C"/>
    <w:rPr>
      <w:rFonts w:ascii="Courier New" w:hAnsi="Courier New"/>
    </w:rPr>
  </w:style>
  <w:style w:type="paragraph" w:customStyle="1" w:styleId="NoteBullet">
    <w:name w:val="Note Bullet"/>
    <w:basedOn w:val="Note"/>
    <w:rsid w:val="006B603C"/>
    <w:pPr>
      <w:tabs>
        <w:tab w:val="clear" w:pos="680"/>
      </w:tabs>
      <w:spacing w:before="60" w:after="60"/>
    </w:pPr>
  </w:style>
  <w:style w:type="paragraph" w:customStyle="1" w:styleId="SubHeading2">
    <w:name w:val="SubHeading2"/>
    <w:basedOn w:val="HeadingBase"/>
    <w:rsid w:val="006B603C"/>
    <w:pPr>
      <w:spacing w:before="240" w:after="60"/>
    </w:pPr>
    <w:rPr>
      <w:sz w:val="20"/>
    </w:rPr>
  </w:style>
  <w:style w:type="paragraph" w:customStyle="1" w:styleId="SubHeading1">
    <w:name w:val="SubHeading1"/>
    <w:basedOn w:val="HeadingBase"/>
    <w:rsid w:val="006B603C"/>
    <w:pPr>
      <w:spacing w:before="240" w:after="60"/>
    </w:pPr>
    <w:rPr>
      <w:color w:val="918585"/>
      <w:sz w:val="22"/>
    </w:rPr>
  </w:style>
  <w:style w:type="paragraph" w:customStyle="1" w:styleId="SideHeading">
    <w:name w:val="Side Heading"/>
    <w:basedOn w:val="HeadingBase"/>
    <w:rsid w:val="006B60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603C"/>
    <w:pPr>
      <w:numPr>
        <w:numId w:val="10"/>
      </w:numPr>
    </w:pPr>
  </w:style>
  <w:style w:type="paragraph" w:styleId="PlainText">
    <w:name w:val="Plain Text"/>
    <w:basedOn w:val="Normal"/>
    <w:link w:val="PlainTextChar"/>
    <w:rsid w:val="006B603C"/>
    <w:rPr>
      <w:sz w:val="20"/>
    </w:rPr>
  </w:style>
  <w:style w:type="character" w:customStyle="1" w:styleId="PlainTextChar">
    <w:name w:val="Plain Text Char"/>
    <w:basedOn w:val="DefaultParagraphFont"/>
    <w:link w:val="PlainText"/>
    <w:rsid w:val="006B603C"/>
    <w:rPr>
      <w:rFonts w:ascii="Courier New" w:eastAsia="Times New Roman" w:hAnsi="Courier New" w:cs="Times New Roman"/>
      <w:sz w:val="20"/>
      <w:szCs w:val="20"/>
      <w:lang w:eastAsia="en-US"/>
    </w:rPr>
  </w:style>
  <w:style w:type="character" w:customStyle="1" w:styleId="MenuOption">
    <w:name w:val="Menu Option"/>
    <w:basedOn w:val="DefaultParagraphFont"/>
    <w:rsid w:val="006B603C"/>
    <w:rPr>
      <w:b/>
      <w:smallCaps/>
    </w:rPr>
  </w:style>
  <w:style w:type="paragraph" w:customStyle="1" w:styleId="TableListNumber">
    <w:name w:val="Table List Number"/>
    <w:basedOn w:val="ListNumber"/>
    <w:rsid w:val="006B603C"/>
    <w:pPr>
      <w:numPr>
        <w:numId w:val="0"/>
      </w:numPr>
    </w:pPr>
  </w:style>
  <w:style w:type="paragraph" w:styleId="TOC4">
    <w:name w:val="toc 4"/>
    <w:basedOn w:val="TOCBase"/>
    <w:next w:val="Normal"/>
    <w:semiHidden/>
    <w:rsid w:val="006B603C"/>
    <w:pPr>
      <w:tabs>
        <w:tab w:val="right" w:leader="dot" w:pos="9071"/>
      </w:tabs>
      <w:ind w:left="1701"/>
    </w:pPr>
  </w:style>
  <w:style w:type="paragraph" w:customStyle="1" w:styleId="ListAlpha">
    <w:name w:val="List Alpha"/>
    <w:basedOn w:val="List"/>
    <w:rsid w:val="006B603C"/>
    <w:pPr>
      <w:numPr>
        <w:numId w:val="8"/>
      </w:numPr>
    </w:pPr>
  </w:style>
  <w:style w:type="paragraph" w:customStyle="1" w:styleId="ListAlpha2">
    <w:name w:val="List Alpha 2"/>
    <w:basedOn w:val="List2"/>
    <w:rsid w:val="006B603C"/>
    <w:pPr>
      <w:numPr>
        <w:numId w:val="7"/>
      </w:numPr>
    </w:pPr>
  </w:style>
  <w:style w:type="paragraph" w:styleId="List2">
    <w:name w:val="List 2"/>
    <w:basedOn w:val="BodyText"/>
    <w:rsid w:val="006B603C"/>
    <w:pPr>
      <w:tabs>
        <w:tab w:val="left" w:pos="680"/>
      </w:tabs>
      <w:spacing w:before="60" w:after="60"/>
      <w:ind w:left="680" w:hanging="340"/>
    </w:pPr>
  </w:style>
  <w:style w:type="paragraph" w:styleId="List3">
    <w:name w:val="List 3"/>
    <w:basedOn w:val="BodyText"/>
    <w:rsid w:val="006B603C"/>
    <w:pPr>
      <w:tabs>
        <w:tab w:val="left" w:pos="1021"/>
      </w:tabs>
      <w:spacing w:before="60" w:after="60"/>
      <w:ind w:left="1020" w:hanging="340"/>
    </w:pPr>
  </w:style>
  <w:style w:type="paragraph" w:styleId="List4">
    <w:name w:val="List 4"/>
    <w:basedOn w:val="BodyText"/>
    <w:rsid w:val="006B603C"/>
    <w:pPr>
      <w:tabs>
        <w:tab w:val="left" w:pos="1361"/>
      </w:tabs>
      <w:spacing w:before="60" w:after="60"/>
      <w:ind w:left="1361" w:hanging="340"/>
    </w:pPr>
  </w:style>
  <w:style w:type="paragraph" w:styleId="List5">
    <w:name w:val="List 5"/>
    <w:basedOn w:val="BodyText"/>
    <w:rsid w:val="006B603C"/>
    <w:pPr>
      <w:tabs>
        <w:tab w:val="left" w:pos="1701"/>
      </w:tabs>
      <w:spacing w:before="60" w:after="60"/>
      <w:ind w:left="1701" w:hanging="340"/>
    </w:pPr>
  </w:style>
  <w:style w:type="paragraph" w:styleId="ListBullet3">
    <w:name w:val="List Bullet 3"/>
    <w:basedOn w:val="List3"/>
    <w:rsid w:val="006B603C"/>
    <w:pPr>
      <w:numPr>
        <w:numId w:val="13"/>
      </w:numPr>
      <w:tabs>
        <w:tab w:val="clear" w:pos="1021"/>
      </w:tabs>
      <w:ind w:left="1037" w:hanging="357"/>
    </w:pPr>
  </w:style>
  <w:style w:type="paragraph" w:styleId="ListBullet4">
    <w:name w:val="List Bullet 4"/>
    <w:basedOn w:val="List4"/>
    <w:rsid w:val="006B603C"/>
    <w:pPr>
      <w:numPr>
        <w:numId w:val="2"/>
      </w:numPr>
      <w:tabs>
        <w:tab w:val="clear" w:pos="1361"/>
      </w:tabs>
    </w:pPr>
  </w:style>
  <w:style w:type="paragraph" w:styleId="ListBullet5">
    <w:name w:val="List Bullet 5"/>
    <w:basedOn w:val="List5"/>
    <w:rsid w:val="006B603C"/>
    <w:pPr>
      <w:numPr>
        <w:numId w:val="3"/>
      </w:numPr>
    </w:pPr>
  </w:style>
  <w:style w:type="paragraph" w:styleId="ListContinue2">
    <w:name w:val="List Continue 2"/>
    <w:basedOn w:val="List2"/>
    <w:rsid w:val="006B603C"/>
    <w:pPr>
      <w:ind w:firstLine="0"/>
    </w:pPr>
  </w:style>
  <w:style w:type="paragraph" w:styleId="ListContinue3">
    <w:name w:val="List Continue 3"/>
    <w:basedOn w:val="List3"/>
    <w:rsid w:val="006B603C"/>
    <w:pPr>
      <w:ind w:left="1021" w:firstLine="0"/>
    </w:pPr>
  </w:style>
  <w:style w:type="paragraph" w:styleId="ListContinue4">
    <w:name w:val="List Continue 4"/>
    <w:basedOn w:val="List4"/>
    <w:rsid w:val="006B603C"/>
    <w:pPr>
      <w:ind w:firstLine="0"/>
    </w:pPr>
  </w:style>
  <w:style w:type="paragraph" w:styleId="ListContinue5">
    <w:name w:val="List Continue 5"/>
    <w:basedOn w:val="List5"/>
    <w:rsid w:val="006B603C"/>
    <w:pPr>
      <w:ind w:firstLine="0"/>
    </w:pPr>
  </w:style>
  <w:style w:type="paragraph" w:styleId="ListNumber3">
    <w:name w:val="List Number 3"/>
    <w:basedOn w:val="List3"/>
    <w:rsid w:val="006B603C"/>
    <w:pPr>
      <w:numPr>
        <w:numId w:val="4"/>
      </w:numPr>
    </w:pPr>
  </w:style>
  <w:style w:type="paragraph" w:styleId="ListNumber4">
    <w:name w:val="List Number 4"/>
    <w:basedOn w:val="List4"/>
    <w:rsid w:val="006B603C"/>
    <w:pPr>
      <w:numPr>
        <w:numId w:val="5"/>
      </w:numPr>
    </w:pPr>
  </w:style>
  <w:style w:type="paragraph" w:styleId="ListNumber5">
    <w:name w:val="List Number 5"/>
    <w:basedOn w:val="List5"/>
    <w:rsid w:val="006B603C"/>
    <w:pPr>
      <w:numPr>
        <w:numId w:val="6"/>
      </w:numPr>
    </w:pPr>
  </w:style>
  <w:style w:type="paragraph" w:styleId="BlockText">
    <w:name w:val="Block Text"/>
    <w:basedOn w:val="Normal"/>
    <w:rsid w:val="006B603C"/>
    <w:pPr>
      <w:spacing w:after="120"/>
      <w:ind w:left="1440" w:right="1440"/>
    </w:pPr>
  </w:style>
  <w:style w:type="character" w:customStyle="1" w:styleId="Subscript">
    <w:name w:val="Subscript"/>
    <w:basedOn w:val="DefaultParagraphFont"/>
    <w:rsid w:val="006B603C"/>
    <w:rPr>
      <w:sz w:val="16"/>
      <w:vertAlign w:val="subscript"/>
    </w:rPr>
  </w:style>
  <w:style w:type="character" w:customStyle="1" w:styleId="Superscript">
    <w:name w:val="Superscript"/>
    <w:basedOn w:val="DefaultParagraphFont"/>
    <w:rsid w:val="006B603C"/>
    <w:rPr>
      <w:sz w:val="16"/>
      <w:vertAlign w:val="superscript"/>
    </w:rPr>
  </w:style>
  <w:style w:type="character" w:customStyle="1" w:styleId="Symbols">
    <w:name w:val="Symbols"/>
    <w:basedOn w:val="DefaultParagraphFont"/>
    <w:rsid w:val="006B603C"/>
    <w:rPr>
      <w:rFonts w:ascii="Symbol" w:hAnsi="Symbol"/>
    </w:rPr>
  </w:style>
  <w:style w:type="character" w:customStyle="1" w:styleId="MenuOptions">
    <w:name w:val="Menu Options"/>
    <w:basedOn w:val="DefaultParagraphFont"/>
    <w:rsid w:val="006B603C"/>
    <w:rPr>
      <w:rFonts w:ascii="Arial Narrow" w:hAnsi="Arial Narrow"/>
      <w:smallCaps/>
    </w:rPr>
  </w:style>
  <w:style w:type="character" w:customStyle="1" w:styleId="Buttons">
    <w:name w:val="Buttons"/>
    <w:basedOn w:val="DefaultParagraphFont"/>
    <w:rsid w:val="006B603C"/>
    <w:rPr>
      <w:b/>
    </w:rPr>
  </w:style>
  <w:style w:type="character" w:customStyle="1" w:styleId="Underlined">
    <w:name w:val="Underlined"/>
    <w:basedOn w:val="DefaultParagraphFont"/>
    <w:rsid w:val="006B603C"/>
    <w:rPr>
      <w:u w:val="single"/>
    </w:rPr>
  </w:style>
  <w:style w:type="paragraph" w:customStyle="1" w:styleId="TableBodyTextRight">
    <w:name w:val="Table Body Text Right"/>
    <w:basedOn w:val="TableBodyText"/>
    <w:rsid w:val="006B603C"/>
    <w:pPr>
      <w:widowControl w:val="0"/>
      <w:autoSpaceDE w:val="0"/>
      <w:autoSpaceDN w:val="0"/>
      <w:adjustRightInd w:val="0"/>
      <w:jc w:val="right"/>
    </w:pPr>
    <w:rPr>
      <w:rFonts w:cs="Arial"/>
      <w:szCs w:val="18"/>
    </w:rPr>
  </w:style>
  <w:style w:type="paragraph" w:customStyle="1" w:styleId="CopyrightText">
    <w:name w:val="Copyright Text"/>
    <w:basedOn w:val="BodyText"/>
    <w:rsid w:val="006B603C"/>
    <w:rPr>
      <w:sz w:val="18"/>
    </w:rPr>
  </w:style>
  <w:style w:type="paragraph" w:customStyle="1" w:styleId="BodySmallRight">
    <w:name w:val="Body Small Right"/>
    <w:basedOn w:val="BodyTextRight"/>
    <w:rsid w:val="006B603C"/>
    <w:rPr>
      <w:sz w:val="18"/>
      <w:szCs w:val="18"/>
    </w:rPr>
  </w:style>
  <w:style w:type="paragraph" w:customStyle="1" w:styleId="MarginEdition">
    <w:name w:val="Margin Edition"/>
    <w:basedOn w:val="MarginNote"/>
    <w:rsid w:val="006B603C"/>
    <w:pPr>
      <w:spacing w:before="0" w:after="0"/>
    </w:pPr>
    <w:rPr>
      <w:rFonts w:ascii="Times New Roman" w:hAnsi="Times New Roman"/>
      <w:color w:val="999999"/>
    </w:rPr>
  </w:style>
  <w:style w:type="paragraph" w:customStyle="1" w:styleId="Spacer">
    <w:name w:val="Spacer"/>
    <w:basedOn w:val="Normal"/>
    <w:rsid w:val="006B603C"/>
    <w:rPr>
      <w:sz w:val="2"/>
      <w:szCs w:val="2"/>
    </w:rPr>
  </w:style>
  <w:style w:type="character" w:customStyle="1" w:styleId="Small">
    <w:name w:val="Small"/>
    <w:basedOn w:val="DefaultParagraphFont"/>
    <w:rsid w:val="006B603C"/>
    <w:rPr>
      <w:sz w:val="16"/>
    </w:rPr>
  </w:style>
  <w:style w:type="paragraph" w:customStyle="1" w:styleId="WideTable">
    <w:name w:val="Wide Table"/>
    <w:basedOn w:val="Normal"/>
    <w:rsid w:val="006B603C"/>
    <w:pPr>
      <w:ind w:left="-1418"/>
    </w:pPr>
    <w:rPr>
      <w:sz w:val="2"/>
      <w:szCs w:val="2"/>
    </w:rPr>
  </w:style>
  <w:style w:type="character" w:styleId="PageNumber">
    <w:name w:val="page number"/>
    <w:basedOn w:val="DefaultParagraphFont"/>
    <w:rsid w:val="006B603C"/>
  </w:style>
  <w:style w:type="paragraph" w:styleId="Quote">
    <w:name w:val="Quote"/>
    <w:basedOn w:val="Heading1"/>
    <w:link w:val="QuoteChar"/>
    <w:qFormat/>
    <w:rsid w:val="006B603C"/>
    <w:rPr>
      <w:b w:val="0"/>
      <w:sz w:val="72"/>
      <w:szCs w:val="72"/>
      <w:lang w:val="en-NZ"/>
    </w:rPr>
  </w:style>
  <w:style w:type="character" w:customStyle="1" w:styleId="QuoteChar">
    <w:name w:val="Quote Char"/>
    <w:basedOn w:val="DefaultParagraphFont"/>
    <w:link w:val="Quote"/>
    <w:rsid w:val="006B60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603C"/>
    <w:pPr>
      <w:pageBreakBefore/>
    </w:pPr>
  </w:style>
  <w:style w:type="paragraph" w:customStyle="1" w:styleId="Border">
    <w:name w:val="Border"/>
    <w:basedOn w:val="Normal"/>
    <w:qFormat/>
    <w:rsid w:val="006B60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603C"/>
    <w:rPr>
      <w:b/>
      <w:bCs/>
      <w:i/>
      <w:iCs/>
      <w:color w:val="auto"/>
    </w:rPr>
  </w:style>
  <w:style w:type="paragraph" w:styleId="IntenseQuote">
    <w:name w:val="Intense Quote"/>
    <w:basedOn w:val="Normal"/>
    <w:next w:val="Normal"/>
    <w:link w:val="IntenseQuoteChar"/>
    <w:uiPriority w:val="30"/>
    <w:qFormat/>
    <w:rsid w:val="006B60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60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603C"/>
    <w:rPr>
      <w:smallCaps/>
      <w:color w:val="auto"/>
      <w:u w:val="single"/>
    </w:rPr>
  </w:style>
  <w:style w:type="character" w:styleId="IntenseReference">
    <w:name w:val="Intense Reference"/>
    <w:basedOn w:val="DefaultParagraphFont"/>
    <w:uiPriority w:val="32"/>
    <w:qFormat/>
    <w:rsid w:val="006B603C"/>
    <w:rPr>
      <w:b/>
      <w:bCs/>
      <w:smallCaps/>
      <w:color w:val="auto"/>
      <w:spacing w:val="5"/>
      <w:u w:val="single"/>
    </w:rPr>
  </w:style>
  <w:style w:type="paragraph" w:customStyle="1" w:styleId="2ColumnHeading">
    <w:name w:val="2Column Heading"/>
    <w:basedOn w:val="BodyText"/>
    <w:qFormat/>
    <w:rsid w:val="006B603C"/>
    <w:pPr>
      <w:spacing w:after="60"/>
      <w:ind w:left="-2268"/>
    </w:pPr>
    <w:rPr>
      <w:b/>
    </w:rPr>
  </w:style>
  <w:style w:type="paragraph" w:customStyle="1" w:styleId="Heading1TOC">
    <w:name w:val="Heading1 TOC"/>
    <w:basedOn w:val="Normal"/>
    <w:qFormat/>
    <w:rsid w:val="006B603C"/>
    <w:pPr>
      <w:spacing w:before="240" w:after="120"/>
    </w:pPr>
    <w:rPr>
      <w:rFonts w:ascii="Times New Roman" w:hAnsi="Times New Roman"/>
      <w:b/>
      <w:sz w:val="32"/>
    </w:rPr>
  </w:style>
  <w:style w:type="paragraph" w:customStyle="1" w:styleId="Heading2TOC">
    <w:name w:val="Heading2 TOC"/>
    <w:basedOn w:val="Normal"/>
    <w:qFormat/>
    <w:rsid w:val="006B603C"/>
    <w:pPr>
      <w:spacing w:before="240" w:after="60"/>
    </w:pPr>
    <w:rPr>
      <w:rFonts w:ascii="Times New Roman" w:hAnsi="Times New Roman"/>
      <w:b/>
      <w:sz w:val="28"/>
    </w:rPr>
  </w:style>
  <w:style w:type="character" w:customStyle="1" w:styleId="Underline">
    <w:name w:val="Underline"/>
    <w:basedOn w:val="DefaultParagraphFont"/>
    <w:qFormat/>
    <w:rsid w:val="006B603C"/>
    <w:rPr>
      <w:u w:val="single"/>
    </w:rPr>
  </w:style>
  <w:style w:type="character" w:customStyle="1" w:styleId="BoldandItalics">
    <w:name w:val="Bold and Italics"/>
    <w:qFormat/>
    <w:rsid w:val="006B603C"/>
    <w:rPr>
      <w:b/>
      <w:i/>
      <w:u w:val="none"/>
    </w:rPr>
  </w:style>
  <w:style w:type="paragraph" w:styleId="BalloonText">
    <w:name w:val="Balloon Text"/>
    <w:basedOn w:val="Normal"/>
    <w:link w:val="BalloonTextChar"/>
    <w:rsid w:val="006B603C"/>
    <w:rPr>
      <w:rFonts w:ascii="Tahoma" w:hAnsi="Tahoma" w:cs="Tahoma"/>
      <w:sz w:val="16"/>
      <w:szCs w:val="16"/>
    </w:rPr>
  </w:style>
  <w:style w:type="character" w:customStyle="1" w:styleId="BalloonTextChar">
    <w:name w:val="Balloon Text Char"/>
    <w:basedOn w:val="DefaultParagraphFont"/>
    <w:link w:val="BalloonText"/>
    <w:rsid w:val="006B60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60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60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603C"/>
    <w:rPr>
      <w:b/>
      <w:color w:val="660033"/>
      <w:spacing w:val="0"/>
    </w:rPr>
  </w:style>
  <w:style w:type="paragraph" w:customStyle="1" w:styleId="Nameditemlist">
    <w:name w:val="Named item list"/>
    <w:basedOn w:val="BodyText"/>
    <w:qFormat/>
    <w:rsid w:val="006B603C"/>
    <w:pPr>
      <w:tabs>
        <w:tab w:val="left" w:pos="2835"/>
      </w:tabs>
      <w:ind w:left="2835" w:hanging="2835"/>
    </w:pPr>
  </w:style>
  <w:style w:type="paragraph" w:customStyle="1" w:styleId="BodyTextnopadding">
    <w:name w:val="Body Text no padding"/>
    <w:basedOn w:val="BodyText"/>
    <w:qFormat/>
    <w:rsid w:val="006B603C"/>
    <w:pPr>
      <w:spacing w:before="0" w:after="0"/>
    </w:pPr>
  </w:style>
  <w:style w:type="paragraph" w:customStyle="1" w:styleId="BodyTextBold">
    <w:name w:val="Body Text Bold"/>
    <w:basedOn w:val="BodyText"/>
    <w:qFormat/>
    <w:rsid w:val="006B603C"/>
    <w:rPr>
      <w:b/>
    </w:rPr>
  </w:style>
  <w:style w:type="character" w:styleId="Hyperlink">
    <w:name w:val="Hyperlink"/>
    <w:basedOn w:val="DefaultParagraphFont"/>
    <w:uiPriority w:val="99"/>
    <w:unhideWhenUsed/>
    <w:rsid w:val="002D66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617</Words>
  <Characters>3737</Characters>
  <Application>Microsoft Office Word</Application>
  <DocSecurity>0</DocSecurity>
  <Lines>120</Lines>
  <Paragraphs>77</Paragraphs>
  <ScaleCrop>false</ScaleCrop>
  <Company>Author-it Software Corporation Ltd.</Company>
  <LinksUpToDate>false</LinksUpToDate>
  <CharactersWithSpaces>4277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FNSFLT213 Develop knowledge of debt and consumer credit</dc:title>
  <dc:subject>Approved</dc:subject>
  <dc:creator>PwC’s Skills for Australia</dc:creator>
  <cp:keywords>Release: 1</cp:keywords>
  <dc:description>Review Date: 12 April 2008</dc:description>
  <cp:lastModifiedBy>HSD_TPCMSd.prod</cp:lastModifiedBy>
  <cp:revision>3</cp:revision>
  <dcterms:created xsi:type="dcterms:W3CDTF">2022-11-03T07:34:00Z</dcterms:created>
  <dcterms:modified xsi:type="dcterms:W3CDTF">2022-11-03T07:34:00Z</dcterms:modified>
</cp:coreProperties>
</file>