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9E4" w:rsidP="00EC4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FNSCRD503 Promote understanding of the role and effective use of consumer credit</w:t>
      </w:r>
      <w:r>
        <w:fldChar w:fldCharType="end"/>
      </w:r>
    </w:p>
    <w:p w:rsidR="00EC49E4" w:rsidP="00EC49E4">
      <w:pPr>
        <w:pStyle w:val="Version"/>
        <w:sectPr w:rsidSect="00031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6FC" w:rsidP="000316FC">
      <w:pPr>
        <w:pStyle w:val="SuperHeading"/>
      </w:pPr>
      <w:r w:rsidRPr="000316FC">
        <w:t>FNSCRD503 Promote understanding of the role and effective use of consumer credit</w:t>
      </w:r>
    </w:p>
    <w:p w:rsidR="00000000" w:rsidRPr="000316FC" w:rsidP="000316FC">
      <w:pPr>
        <w:pStyle w:val="Heading1"/>
      </w:pPr>
      <w:bookmarkStart w:id="1" w:name="O_674846"/>
      <w:bookmarkEnd w:id="1"/>
      <w:r w:rsidRPr="00031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rPr>
                <w:rStyle w:val="SpecialBold"/>
              </w:rPr>
              <w:t>Comments</w:t>
            </w:r>
          </w:p>
        </w:tc>
      </w:tr>
      <w:tr w:rsidTr="0003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This version first released with FNS Financial Services Training Package Version 1.0.</w:t>
            </w:r>
          </w:p>
        </w:tc>
      </w:tr>
    </w:tbl>
    <w:p w:rsidR="00000000" w:rsidRPr="000316FC" w:rsidP="000316FC">
      <w:pPr>
        <w:pStyle w:val="BodyText"/>
      </w:pPr>
    </w:p>
    <w:p w:rsidR="00000000" w:rsidRPr="000316FC" w:rsidP="000316FC">
      <w:pPr>
        <w:pStyle w:val="AllowPageBreak"/>
      </w:pPr>
    </w:p>
    <w:p w:rsidR="00000000" w:rsidRPr="000316FC" w:rsidP="000316FC">
      <w:pPr>
        <w:pStyle w:val="Heading1"/>
      </w:pPr>
      <w:bookmarkStart w:id="2" w:name="O_674847"/>
      <w:bookmarkEnd w:id="2"/>
      <w:r w:rsidRPr="000316FC">
        <w:t>Application</w:t>
      </w:r>
    </w:p>
    <w:p w:rsidR="00000000" w:rsidRPr="000316FC" w:rsidP="00EC49E4">
      <w:pPr>
        <w:pStyle w:val="BodyText"/>
      </w:pPr>
      <w:r w:rsidRPr="000316FC">
        <w:t>This unit describes the skills and knowledge required to explain the functions and implications of different forms of consumer credit as part of developing the financial skills of clients.</w:t>
      </w:r>
    </w:p>
    <w:p w:rsidR="00000000" w:rsidRPr="000316FC" w:rsidP="00EC49E4">
      <w:pPr>
        <w:pStyle w:val="BodyText"/>
      </w:pPr>
      <w:r w:rsidRPr="000316FC">
        <w:t>It applies to individuals who use a range of communica</w:t>
      </w:r>
      <w:r w:rsidRPr="000316FC">
        <w:t xml:space="preserve">tion styles and techniques to provide comprehensive analysis of information in managerial support or service roles, particularly to clients with minimal financial awareness. </w:t>
      </w:r>
    </w:p>
    <w:p w:rsidR="00000000" w:rsidRPr="000316FC" w:rsidP="00EC49E4">
      <w:pPr>
        <w:pStyle w:val="BodyText"/>
      </w:pPr>
      <w:r w:rsidRPr="000316FC">
        <w:t>No licensing, legislative or certification requirements apply to this unit at th</w:t>
      </w:r>
      <w:r w:rsidRPr="000316FC">
        <w:t xml:space="preserve">e time of publication. </w:t>
      </w:r>
    </w:p>
    <w:p w:rsidR="00000000" w:rsidRPr="000316FC" w:rsidP="000316FC">
      <w:pPr>
        <w:pStyle w:val="Heading1"/>
      </w:pPr>
      <w:bookmarkStart w:id="3" w:name="O_674850"/>
      <w:bookmarkEnd w:id="3"/>
      <w:r w:rsidRPr="000316FC">
        <w:t>Unit Sector</w:t>
      </w:r>
    </w:p>
    <w:p w:rsidR="00000000" w:rsidRPr="000316FC" w:rsidP="00EC49E4">
      <w:pPr>
        <w:pStyle w:val="BodyText"/>
      </w:pPr>
      <w:r w:rsidRPr="000316FC">
        <w:t>Credit management</w:t>
      </w:r>
    </w:p>
    <w:p w:rsidR="00000000" w:rsidRPr="000316FC" w:rsidP="000316FC">
      <w:pPr>
        <w:pStyle w:val="Heading1"/>
      </w:pPr>
      <w:bookmarkStart w:id="4" w:name="O_674851"/>
      <w:bookmarkEnd w:id="4"/>
      <w:r w:rsidRPr="000316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31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rPr>
                <w:rStyle w:val="SpecialBold"/>
              </w:rPr>
              <w:t>PERFORMANCE CRITERIA</w:t>
            </w:r>
          </w:p>
        </w:tc>
      </w:tr>
      <w:tr w:rsidTr="00031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1. Identify types of appropriate consumer credit options for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1.1 Identify clients’ financial situations, requirements and objectives in regards to cons</w:t>
            </w:r>
            <w:r w:rsidRPr="000316FC">
              <w:t xml:space="preserve">umer credit by making reasonable enquiries </w:t>
            </w:r>
          </w:p>
          <w:p w:rsidR="00000000" w:rsidRPr="000316FC" w:rsidP="000316FC">
            <w:pPr>
              <w:pStyle w:val="BodyText"/>
            </w:pPr>
            <w:r w:rsidRPr="000316FC">
              <w:t xml:space="preserve">1.2 Explain types of appropriate consumer credit facilities to clients in plain language </w:t>
            </w:r>
          </w:p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 xml:space="preserve">1.3 Provide clients with written supporting documentation and </w:t>
            </w:r>
            <w:r w:rsidRPr="000316FC">
              <w:t>guide them through key aspects of documentation</w:t>
            </w:r>
          </w:p>
        </w:tc>
      </w:tr>
      <w:tr w:rsidTr="00031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2. Identify and discuss costs of using credit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 xml:space="preserve">2.1 Explain relevant features, terms and conditions of appropriate consumer credit facilities to clients, with impacts and possible risks disclosed in a clear and concise manner </w:t>
            </w:r>
          </w:p>
          <w:p w:rsidR="00000000" w:rsidRPr="000316FC" w:rsidP="000316FC">
            <w:pPr>
              <w:pStyle w:val="BodyText"/>
            </w:pPr>
            <w:r w:rsidRPr="000316FC">
              <w:t>2.2 Explain fees and costs asso</w:t>
            </w:r>
            <w:r w:rsidRPr="000316FC">
              <w:t>ciated with different types of credit options for clients</w:t>
            </w:r>
          </w:p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2.3 Demonstrate how to interpret differences between advertised interest rates and comparison rates to clients</w:t>
            </w:r>
          </w:p>
        </w:tc>
      </w:tr>
      <w:tr w:rsidTr="00031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3. Promote effective use of consumer credit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 xml:space="preserve">3.1 Discuss strategies to avoid excessive </w:t>
            </w:r>
            <w:r w:rsidRPr="000316FC">
              <w:t>or unmanageable debt with clients in relation to their financial situations</w:t>
            </w:r>
          </w:p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3.2 Discuss strategies to minimise fees and cost of credit with clients</w:t>
            </w:r>
          </w:p>
        </w:tc>
      </w:tr>
      <w:tr w:rsidTr="00031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4. Provide clients with information regarding credit reference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4.1 Explain role of credit reference</w:t>
            </w:r>
            <w:r w:rsidRPr="000316FC">
              <w:t xml:space="preserve"> agencies to clients in plain language</w:t>
            </w:r>
          </w:p>
          <w:p w:rsidR="00000000" w:rsidRPr="000316FC" w:rsidP="000316FC">
            <w:pPr>
              <w:pStyle w:val="BodyText"/>
            </w:pPr>
            <w:r w:rsidRPr="000316FC">
              <w:t>4.2 Emphasise purpose and use of credit reference reports in assessing loan applications and explain implications of establishing a poor credit history to clients</w:t>
            </w:r>
          </w:p>
          <w:p w:rsidR="00000000" w:rsidRPr="000316FC" w:rsidP="000316FC">
            <w:pPr>
              <w:pStyle w:val="BodyText"/>
            </w:pPr>
            <w:r w:rsidRPr="000316FC">
              <w:t>4.3 Explain right to access and methods of obtaining o</w:t>
            </w:r>
            <w:r w:rsidRPr="000316FC">
              <w:t>wn credit reference report, and provide relevant contact details to clients for follow up if required</w:t>
            </w:r>
          </w:p>
        </w:tc>
      </w:tr>
    </w:tbl>
    <w:p w:rsidR="00000000" w:rsidRPr="000316FC" w:rsidP="000316FC">
      <w:pPr>
        <w:pStyle w:val="BodyText"/>
      </w:pPr>
    </w:p>
    <w:p w:rsidR="00000000" w:rsidRPr="000316FC" w:rsidP="000316FC">
      <w:pPr>
        <w:pStyle w:val="AllowPageBreak"/>
      </w:pPr>
    </w:p>
    <w:p w:rsidR="00000000" w:rsidRPr="000316FC" w:rsidP="000316FC">
      <w:pPr>
        <w:pStyle w:val="Heading1"/>
      </w:pPr>
      <w:bookmarkStart w:id="5" w:name="O_674852"/>
      <w:bookmarkEnd w:id="5"/>
      <w:r w:rsidRPr="000316FC">
        <w:t>Foundation Skills</w:t>
      </w:r>
    </w:p>
    <w:p w:rsidR="00000000" w:rsidRPr="00EC49E4" w:rsidP="00EC49E4">
      <w:pPr>
        <w:pStyle w:val="BodyText"/>
        <w:rPr>
          <w:i/>
        </w:rPr>
      </w:pPr>
      <w:r w:rsidRPr="00EC49E4">
        <w:rPr>
          <w:rStyle w:val="Emphasis"/>
        </w:rPr>
        <w:t>This section describes language, literacy, numeracy and employment skills incorporated in the performance criteria th</w:t>
      </w:r>
      <w:r w:rsidRPr="00EC49E4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31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rPr>
                <w:rStyle w:val="SpecialBold"/>
              </w:rPr>
              <w:t>Description</w:t>
            </w:r>
          </w:p>
        </w:tc>
      </w:tr>
      <w:tr w:rsidTr="00031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1.1-1.3,</w:t>
            </w:r>
          </w:p>
          <w:p w:rsidR="00000000" w:rsidRPr="000316FC" w:rsidP="000316FC">
            <w:pPr>
              <w:pStyle w:val="BodyText"/>
            </w:pPr>
            <w:r w:rsidRPr="000316FC">
              <w:t>2.1, 2.2,</w:t>
            </w:r>
          </w:p>
          <w:p w:rsidR="00000000" w:rsidRPr="000316FC" w:rsidP="000316FC">
            <w:pPr>
              <w:pStyle w:val="BodyText"/>
            </w:pPr>
            <w:r w:rsidRPr="000316FC">
              <w:t>3.1-3.3,</w:t>
            </w:r>
          </w:p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ListBullet"/>
            </w:pPr>
            <w:r w:rsidRPr="000316FC">
              <w:t xml:space="preserve">Establishes a supportive environment, considers the context and selects vocabulary, grammar and </w:t>
            </w:r>
            <w:r w:rsidRPr="000316FC">
              <w:t xml:space="preserve">structure to suit a wide range of individuals and cultural differences to convey details of consumer credit choices and outcomes of individual credit history </w:t>
            </w:r>
          </w:p>
          <w:p w:rsidR="00000000" w:rsidP="000316FC">
            <w:pPr>
              <w:pStyle w:val="ListBullet"/>
              <w:rPr>
                <w:lang w:val="en-NZ"/>
              </w:rPr>
            </w:pPr>
            <w:r w:rsidRPr="000316FC">
              <w:t>Uses active questioning and listening techniques, initiates points of clarification and uses clea</w:t>
            </w:r>
            <w:r w:rsidRPr="000316FC">
              <w:t xml:space="preserve">r and direct language to establish client credit requirements and convey strategic advice and support </w:t>
            </w:r>
          </w:p>
        </w:tc>
      </w:tr>
      <w:tr w:rsidTr="00031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 xml:space="preserve">2.1, 2.2, 3.2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ListBullet"/>
              <w:rPr>
                <w:lang w:val="en-NZ"/>
              </w:rPr>
            </w:pPr>
            <w:r w:rsidRPr="000316FC">
              <w:t>Uses mathematical equations to compare and accurately demonstrate key features of financial information to others</w:t>
            </w:r>
          </w:p>
        </w:tc>
      </w:tr>
      <w:tr w:rsidTr="00031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Interact wit</w:t>
            </w:r>
            <w:r w:rsidRPr="000316FC">
              <w:t>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3.1, 3.2, 4.2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ListBullet"/>
              <w:rPr>
                <w:lang w:val="en-NZ"/>
              </w:rPr>
            </w:pPr>
            <w:r w:rsidRPr="000316FC">
              <w:t>Implements strategies for a diverse range of colleagues and clients to build rapport and foster strong relationships</w:t>
            </w:r>
          </w:p>
        </w:tc>
      </w:tr>
      <w:tr w:rsidTr="00031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1.1, 1.2, 2.1, 2.2, 3.1-3.3,</w:t>
            </w:r>
          </w:p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ListBullet"/>
            </w:pPr>
            <w:r w:rsidRPr="000316FC">
              <w:t xml:space="preserve">Accepts responsibility for planning and sequencing complex tasks and workload, negotiating key aspects with others and taking into account capabilities, efficiencies and effectiveness </w:t>
            </w:r>
          </w:p>
          <w:p w:rsidR="00000000" w:rsidRPr="000316FC" w:rsidP="000316FC">
            <w:pPr>
              <w:pStyle w:val="ListBullet"/>
            </w:pPr>
            <w:r w:rsidRPr="000316FC">
              <w:t>Applies systematic and analytical decision-making processes for complex</w:t>
            </w:r>
            <w:r w:rsidRPr="000316FC">
              <w:t xml:space="preserve"> and non-routine situations</w:t>
            </w:r>
          </w:p>
          <w:p w:rsidR="00000000" w:rsidRPr="000316FC" w:rsidP="000316FC">
            <w:pPr>
              <w:pStyle w:val="ListBullet"/>
            </w:pPr>
            <w:r w:rsidRPr="000316FC">
              <w:t>Uses the main features and functions of digital tools to complete work tasks</w:t>
            </w:r>
          </w:p>
        </w:tc>
      </w:tr>
    </w:tbl>
    <w:p w:rsidR="00000000" w:rsidRPr="000316FC" w:rsidP="000316FC">
      <w:pPr>
        <w:pStyle w:val="BodyText"/>
      </w:pPr>
    </w:p>
    <w:p w:rsidR="00000000" w:rsidRPr="000316FC" w:rsidP="000316FC">
      <w:pPr>
        <w:pStyle w:val="AllowPageBreak"/>
      </w:pPr>
    </w:p>
    <w:p w:rsidR="00000000" w:rsidRPr="000316FC" w:rsidP="000316FC">
      <w:pPr>
        <w:pStyle w:val="Heading1"/>
      </w:pPr>
      <w:bookmarkStart w:id="6" w:name="O_674854"/>
      <w:bookmarkEnd w:id="6"/>
      <w:r w:rsidRPr="000316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 xml:space="preserve">Code and title </w:t>
            </w:r>
          </w:p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Code and title</w:t>
            </w:r>
          </w:p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rPr>
                <w:rStyle w:val="SpecialBold"/>
              </w:rPr>
              <w:t>Equivalence status</w:t>
            </w:r>
          </w:p>
        </w:tc>
      </w:tr>
      <w:tr w:rsidTr="0003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FNSCRD503 Promote understanding of the role and effective use of consumer credit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FNSCRD503A Promote understanding of the role and effective use of consumer credit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Updated to meet Standards for Training Packages</w:t>
            </w:r>
          </w:p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Rewritten and clarified elements and performa</w:t>
            </w:r>
            <w:r w:rsidRPr="000316FC">
              <w:t>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>Equivalent unit</w:t>
            </w:r>
          </w:p>
        </w:tc>
      </w:tr>
    </w:tbl>
    <w:p w:rsidR="00000000" w:rsidRPr="000316FC" w:rsidP="000316FC">
      <w:pPr>
        <w:pStyle w:val="BodyText"/>
      </w:pPr>
    </w:p>
    <w:p w:rsidR="00000000" w:rsidRPr="000316FC" w:rsidP="000316FC">
      <w:pPr>
        <w:pStyle w:val="AllowPageBreak"/>
      </w:pPr>
    </w:p>
    <w:p w:rsidR="00000000" w:rsidRPr="000316FC" w:rsidP="000316FC">
      <w:pPr>
        <w:pStyle w:val="Heading1"/>
      </w:pPr>
      <w:bookmarkStart w:id="7" w:name="O_674861"/>
      <w:bookmarkEnd w:id="7"/>
      <w:r w:rsidRPr="000316FC">
        <w:t>Links</w:t>
      </w:r>
    </w:p>
    <w:p w:rsidR="00000000" w:rsidRPr="000316FC" w:rsidP="00EC49E4">
      <w:pPr>
        <w:pStyle w:val="BodyText"/>
      </w:pPr>
      <w:r w:rsidRPr="00031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0C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16FC" w:rsidP="00EC49E4">
      <w:pPr>
        <w:pStyle w:val="BodyText"/>
        <w:sectPr w:rsidSect="000316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16FC" w:rsidP="000316FC">
      <w:pPr>
        <w:pStyle w:val="SuperHeading"/>
      </w:pPr>
      <w:r w:rsidRPr="000316FC">
        <w:t>Assessment Requirements for FNSCRD503 Promote understanding of the role and effective use of consumer credit</w:t>
      </w:r>
    </w:p>
    <w:p w:rsidR="00000000" w:rsidRPr="000316FC" w:rsidP="000316FC">
      <w:pPr>
        <w:pStyle w:val="Heading1"/>
      </w:pPr>
      <w:bookmarkStart w:id="8" w:name="O_674856"/>
      <w:bookmarkEnd w:id="8"/>
      <w:r w:rsidRPr="00031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rPr>
                <w:rStyle w:val="SpecialBold"/>
              </w:rPr>
              <w:t>Comments</w:t>
            </w:r>
          </w:p>
        </w:tc>
      </w:tr>
      <w:tr w:rsidTr="00031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6FC">
            <w:pPr>
              <w:pStyle w:val="BodyText"/>
              <w:rPr>
                <w:lang w:val="en-NZ"/>
              </w:rPr>
            </w:pPr>
            <w:r w:rsidRPr="000316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6FC" w:rsidP="000316FC">
            <w:pPr>
              <w:pStyle w:val="BodyText"/>
            </w:pPr>
            <w:r w:rsidRPr="000316FC">
              <w:t xml:space="preserve">This version first released with FNS Financial Services Training Package Version </w:t>
            </w:r>
            <w:r w:rsidRPr="000316FC">
              <w:t>1.0.</w:t>
            </w:r>
          </w:p>
        </w:tc>
      </w:tr>
    </w:tbl>
    <w:p w:rsidR="00000000" w:rsidRPr="000316FC" w:rsidP="000316FC">
      <w:pPr>
        <w:pStyle w:val="BodyText"/>
      </w:pPr>
    </w:p>
    <w:p w:rsidR="00000000" w:rsidRPr="000316FC" w:rsidP="000316FC">
      <w:pPr>
        <w:pStyle w:val="AllowPageBreak"/>
      </w:pPr>
    </w:p>
    <w:p w:rsidR="00000000" w:rsidRPr="000316FC" w:rsidP="000316FC">
      <w:pPr>
        <w:pStyle w:val="Heading1"/>
      </w:pPr>
      <w:bookmarkStart w:id="9" w:name="O_674857"/>
      <w:bookmarkEnd w:id="9"/>
      <w:r w:rsidRPr="000316FC">
        <w:t>Performance Evidence</w:t>
      </w:r>
    </w:p>
    <w:p w:rsidR="00000000" w:rsidRPr="000316FC" w:rsidP="00EC49E4">
      <w:pPr>
        <w:pStyle w:val="BodyText"/>
      </w:pPr>
      <w:r w:rsidRPr="000316FC">
        <w:t>Evidence of the ability to:</w:t>
      </w:r>
    </w:p>
    <w:p w:rsidR="00000000" w:rsidRPr="000316FC" w:rsidP="000316FC">
      <w:pPr>
        <w:pStyle w:val="ListBullet"/>
      </w:pPr>
      <w:r w:rsidRPr="000316FC">
        <w:t>comply with legislative requirements, industry regulations and code of conduct when identifying types of appropriate consumer credit options for clients and providing documentation</w:t>
      </w:r>
    </w:p>
    <w:p w:rsidR="00000000" w:rsidRPr="000316FC" w:rsidP="000316FC">
      <w:pPr>
        <w:pStyle w:val="ListBullet"/>
      </w:pPr>
      <w:r w:rsidRPr="000316FC">
        <w:t>explain the features, terms and conditions of the appropriate consumer credit facilities to clients, taking into account any special needs</w:t>
      </w:r>
    </w:p>
    <w:p w:rsidR="00000000" w:rsidRPr="000316FC" w:rsidP="000316FC">
      <w:pPr>
        <w:pStyle w:val="ListBullet"/>
      </w:pPr>
      <w:r w:rsidRPr="000316FC">
        <w:t>provide clients with a detailed analysis of the fees, costs and risks of appropriate consumer credit facilities</w:t>
      </w:r>
    </w:p>
    <w:p w:rsidR="00000000" w:rsidRPr="000316FC" w:rsidP="000316FC">
      <w:pPr>
        <w:pStyle w:val="ListBullet"/>
      </w:pPr>
      <w:r w:rsidRPr="000316FC">
        <w:t>ident</w:t>
      </w:r>
      <w:r w:rsidRPr="000316FC">
        <w:t>ify for clients strategies to use appropriate consumer credit facilities effectively</w:t>
      </w:r>
    </w:p>
    <w:p w:rsidR="00000000" w:rsidRPr="000316FC" w:rsidP="000316FC">
      <w:pPr>
        <w:pStyle w:val="ListBullet"/>
      </w:pPr>
      <w:r w:rsidRPr="000316FC">
        <w:t>explain the consequences of a poor credit reference history to clients.</w:t>
      </w:r>
    </w:p>
    <w:p w:rsidR="00000000" w:rsidRPr="000316FC" w:rsidP="000316FC">
      <w:pPr>
        <w:pStyle w:val="BodyText"/>
      </w:pPr>
    </w:p>
    <w:p w:rsidR="00000000" w:rsidRPr="000316FC" w:rsidP="00EC49E4">
      <w:pPr>
        <w:pStyle w:val="BodyText"/>
      </w:pPr>
      <w:r w:rsidRPr="000316FC">
        <w:t>Note: If a specific volume or frequency is not stated, then evidence must be provided at least onc</w:t>
      </w:r>
      <w:r w:rsidRPr="000316FC">
        <w:t>e.</w:t>
      </w:r>
    </w:p>
    <w:p w:rsidR="00000000" w:rsidRPr="000316FC" w:rsidP="000316FC">
      <w:pPr>
        <w:pStyle w:val="Heading1"/>
      </w:pPr>
      <w:bookmarkStart w:id="10" w:name="O_674858"/>
      <w:bookmarkEnd w:id="10"/>
      <w:r w:rsidRPr="000316FC">
        <w:t>Knowledge Evidence</w:t>
      </w:r>
    </w:p>
    <w:p w:rsidR="00000000" w:rsidRPr="000316FC" w:rsidP="00EC49E4">
      <w:pPr>
        <w:pStyle w:val="BodyText"/>
      </w:pPr>
      <w:r w:rsidRPr="000316FC">
        <w:t>To complete the unit requirements safely and effectively, the individual must:</w:t>
      </w:r>
    </w:p>
    <w:p w:rsidR="00000000" w:rsidRPr="000316FC" w:rsidP="000316FC">
      <w:pPr>
        <w:pStyle w:val="ListBullet"/>
      </w:pPr>
      <w:r w:rsidRPr="000316FC">
        <w:t>explain the effect of the current economic environment on an individual’s credit and debt options</w:t>
      </w:r>
    </w:p>
    <w:p w:rsidR="00000000" w:rsidRPr="000316FC" w:rsidP="000316FC">
      <w:pPr>
        <w:pStyle w:val="ListBullet"/>
      </w:pPr>
      <w:r w:rsidRPr="000316FC">
        <w:t>explain the advantages and disadvantage</w:t>
      </w:r>
      <w:r w:rsidRPr="000316FC">
        <w:t xml:space="preserve">s of credit </w:t>
      </w:r>
    </w:p>
    <w:p w:rsidR="00000000" w:rsidRPr="000316FC" w:rsidP="000316FC">
      <w:pPr>
        <w:pStyle w:val="ListBullet"/>
      </w:pPr>
      <w:r w:rsidRPr="000316FC">
        <w:t>describe the principles of lending and credit</w:t>
      </w:r>
    </w:p>
    <w:p w:rsidR="00000000" w:rsidRPr="000316FC" w:rsidP="000316FC">
      <w:pPr>
        <w:pStyle w:val="ListBullet"/>
      </w:pPr>
      <w:r w:rsidRPr="000316FC">
        <w:t>outline the key differences between secured and unsecured loans</w:t>
      </w:r>
    </w:p>
    <w:p w:rsidR="00000000" w:rsidRPr="000316FC" w:rsidP="000316FC">
      <w:pPr>
        <w:pStyle w:val="ListBullet"/>
      </w:pPr>
      <w:r w:rsidRPr="000316FC">
        <w:t>describe the key features of relevant legislative requirements, industry regulations and codes of conduct, and how they impact on dea</w:t>
      </w:r>
      <w:r w:rsidRPr="000316FC">
        <w:t xml:space="preserve">lings with clients </w:t>
      </w:r>
    </w:p>
    <w:p w:rsidR="00000000" w:rsidRPr="000316FC" w:rsidP="000316FC">
      <w:pPr>
        <w:pStyle w:val="ListBullet"/>
      </w:pPr>
      <w:r w:rsidRPr="000316FC">
        <w:t>define the roles and relationships between participants within the Australian financial services industry, including banks and other financial intermediaries</w:t>
      </w:r>
    </w:p>
    <w:p w:rsidR="00000000" w:rsidRPr="000316FC" w:rsidP="000316FC">
      <w:pPr>
        <w:pStyle w:val="ListBullet"/>
      </w:pPr>
      <w:r w:rsidRPr="000316FC">
        <w:t xml:space="preserve">describe key features, terms and conditions, and risks of a range of consumer </w:t>
      </w:r>
      <w:r w:rsidRPr="000316FC">
        <w:t>credit facilities, including fees and costs.</w:t>
      </w:r>
    </w:p>
    <w:p w:rsidR="00000000" w:rsidRPr="000316FC" w:rsidP="000316FC">
      <w:pPr>
        <w:pStyle w:val="AllowPageBreak"/>
      </w:pPr>
    </w:p>
    <w:p w:rsidR="00000000" w:rsidRPr="000316FC" w:rsidP="000316FC">
      <w:pPr>
        <w:pStyle w:val="Heading1"/>
      </w:pPr>
      <w:bookmarkStart w:id="11" w:name="O_674859"/>
      <w:bookmarkEnd w:id="11"/>
      <w:r w:rsidRPr="000316FC">
        <w:t>Assessment Conditions</w:t>
      </w:r>
    </w:p>
    <w:p w:rsidR="00000000" w:rsidRPr="000316FC" w:rsidP="00EC49E4">
      <w:pPr>
        <w:pStyle w:val="BodyText"/>
      </w:pPr>
      <w:r w:rsidRPr="000316FC">
        <w:t>Assessment must be conducted in a safe environment where evidence gathered demonstrates consistent performance of typical activities experienced in the credit management fi</w:t>
      </w:r>
      <w:r w:rsidRPr="000316FC">
        <w:t>eld of work and include access to:</w:t>
      </w:r>
    </w:p>
    <w:p w:rsidR="00000000" w:rsidRPr="000316FC" w:rsidP="000316FC">
      <w:pPr>
        <w:pStyle w:val="ListBullet"/>
      </w:pPr>
      <w:r w:rsidRPr="000316FC">
        <w:t>common office equipment, technology and consumables</w:t>
      </w:r>
    </w:p>
    <w:p w:rsidR="00000000" w:rsidRPr="000316FC" w:rsidP="000316FC">
      <w:pPr>
        <w:pStyle w:val="ListBullet"/>
      </w:pPr>
      <w:r w:rsidRPr="000316FC">
        <w:t>financial services product information</w:t>
      </w:r>
    </w:p>
    <w:p w:rsidR="00000000" w:rsidRPr="000316FC" w:rsidP="000316FC">
      <w:pPr>
        <w:pStyle w:val="ListBullet"/>
      </w:pPr>
      <w:r w:rsidRPr="000316FC">
        <w:t xml:space="preserve">relevant software systems and data </w:t>
      </w:r>
    </w:p>
    <w:p w:rsidR="00000000" w:rsidRPr="000316FC" w:rsidP="000316FC">
      <w:pPr>
        <w:pStyle w:val="ListBullet"/>
      </w:pPr>
      <w:r w:rsidRPr="000316FC">
        <w:t>organisational policy and procedures.</w:t>
      </w:r>
    </w:p>
    <w:p w:rsidR="00000000" w:rsidRPr="000316FC" w:rsidP="000316FC">
      <w:pPr>
        <w:pStyle w:val="BodyText"/>
      </w:pPr>
    </w:p>
    <w:p w:rsidR="00000000" w:rsidRPr="000316FC" w:rsidP="00EC49E4">
      <w:pPr>
        <w:pStyle w:val="BodyText"/>
      </w:pPr>
      <w:r w:rsidRPr="000316FC">
        <w:t>Assessors must satisfy NVR/AQTF assessor requirements.</w:t>
      </w:r>
    </w:p>
    <w:p w:rsidR="00000000" w:rsidRPr="000316FC" w:rsidP="000316FC">
      <w:pPr>
        <w:pStyle w:val="Heading1"/>
      </w:pPr>
      <w:bookmarkStart w:id="12" w:name="O_674862"/>
      <w:bookmarkEnd w:id="12"/>
      <w:r w:rsidRPr="000316FC">
        <w:t>Links</w:t>
      </w:r>
    </w:p>
    <w:p w:rsidR="00000000" w:rsidRPr="000316FC" w:rsidP="00EC49E4">
      <w:pPr>
        <w:pStyle w:val="BodyText"/>
      </w:pPr>
      <w:r w:rsidRPr="00031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0C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16FC" w:rsidP="000316FC"/>
    <w:sectPr w:rsidSect="000316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 w:rsidRPr="00EC49E4" w:rsidP="00EC4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 w:rsidP="00031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9E4" w:rsidP="00031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49E4" w:rsidP="000316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 w:rsidP="00031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9E4">
      <w:t>Approved</w:t>
    </w:r>
    <w:r w:rsidR="00EC49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9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9E4">
      <w:rPr>
        <w:noProof/>
      </w:rPr>
      <w:t>4</w:t>
    </w:r>
    <w:r>
      <w:rPr>
        <w:noProof/>
      </w:rPr>
      <w:fldChar w:fldCharType="end"/>
    </w:r>
  </w:p>
  <w:p w:rsidR="000316FC" w:rsidP="00031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9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9E4">
      <w:t>Future Skills Organisation</w:t>
    </w:r>
    <w:r w:rsidR="00EC49E4">
      <w:fldChar w:fldCharType="end"/>
    </w:r>
  </w:p>
  <w:p w:rsidR="000316FC" w:rsidP="00031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6FC" w:rsidRPr="00EC49E4" w:rsidP="00EC4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 w:rsidRPr="002D2AF8" w:rsidP="00031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FNSCRD503 Promote understanding of the role and effective use of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9E4" w:rsidP="000316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FC" w:rsidRPr="002D2AF8" w:rsidP="00031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9E4">
      <w:t>FNSCRD503 Promote understanding of the role and effective use of consumer credit</w:t>
    </w:r>
    <w:r w:rsidR="00EC49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9E4">
      <w:rPr>
        <w:noProof/>
      </w:rPr>
      <w:t>2 March 2025</w:t>
    </w:r>
    <w:r>
      <w:fldChar w:fldCharType="end"/>
    </w:r>
  </w:p>
  <w:p w:rsidR="000316FC" w:rsidP="00031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09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AE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6FC"/>
  </w:style>
  <w:style w:type="character" w:customStyle="1" w:styleId="Heading1Char">
    <w:name w:val="Heading 1 Char"/>
    <w:basedOn w:val="DefaultParagraphFont"/>
    <w:link w:val="Heading1"/>
    <w:rsid w:val="00031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6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6FC"/>
    <w:rPr>
      <w:b/>
      <w:spacing w:val="0"/>
    </w:rPr>
  </w:style>
  <w:style w:type="character" w:styleId="Emphasis">
    <w:name w:val="Emphasis"/>
    <w:basedOn w:val="DefaultParagraphFont"/>
    <w:qFormat/>
    <w:rsid w:val="000316FC"/>
    <w:rPr>
      <w:i/>
    </w:rPr>
  </w:style>
  <w:style w:type="paragraph" w:customStyle="1" w:styleId="SuperHeading">
    <w:name w:val="SuperHeading"/>
    <w:basedOn w:val="Normal"/>
    <w:rsid w:val="00031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6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6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6FC"/>
  </w:style>
  <w:style w:type="paragraph" w:styleId="TableofFigures">
    <w:name w:val="table of figures"/>
    <w:basedOn w:val="Normal"/>
    <w:next w:val="Normal"/>
    <w:semiHidden/>
    <w:rsid w:val="00031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6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6FC"/>
    <w:rPr>
      <w:rFonts w:ascii="Wingdings" w:hAnsi="Wingdings"/>
    </w:rPr>
  </w:style>
  <w:style w:type="paragraph" w:customStyle="1" w:styleId="TableHeading">
    <w:name w:val="Table Heading"/>
    <w:basedOn w:val="HeadingBase"/>
    <w:rsid w:val="00031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6FC"/>
    <w:rPr>
      <w:color w:val="0033CC"/>
      <w:u w:val="none"/>
    </w:rPr>
  </w:style>
  <w:style w:type="paragraph" w:customStyle="1" w:styleId="BodyTextRight">
    <w:name w:val="Body Text Right"/>
    <w:basedOn w:val="BodyText"/>
    <w:rsid w:val="00031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6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6FC"/>
    <w:rPr>
      <w:sz w:val="32"/>
    </w:rPr>
  </w:style>
  <w:style w:type="paragraph" w:customStyle="1" w:styleId="HeadingProcedure">
    <w:name w:val="Heading Procedure"/>
    <w:basedOn w:val="HeadingBase"/>
    <w:next w:val="Normal"/>
    <w:rsid w:val="00031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6FC"/>
    <w:pPr>
      <w:spacing w:before="60" w:after="60"/>
    </w:pPr>
  </w:style>
  <w:style w:type="paragraph" w:styleId="ListContinue">
    <w:name w:val="List Continue"/>
    <w:basedOn w:val="List"/>
    <w:rsid w:val="000316FC"/>
    <w:pPr>
      <w:ind w:firstLine="0"/>
    </w:pPr>
  </w:style>
  <w:style w:type="paragraph" w:customStyle="1" w:styleId="ListNote">
    <w:name w:val="List Note"/>
    <w:basedOn w:val="List"/>
    <w:rsid w:val="00031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6FC"/>
    <w:rPr>
      <w:rFonts w:ascii="Courier New" w:hAnsi="Courier New"/>
    </w:rPr>
  </w:style>
  <w:style w:type="paragraph" w:customStyle="1" w:styleId="NoteBullet">
    <w:name w:val="Note Bullet"/>
    <w:basedOn w:val="Note"/>
    <w:rsid w:val="00031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6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6FC"/>
    <w:rPr>
      <w:b/>
      <w:smallCaps/>
    </w:rPr>
  </w:style>
  <w:style w:type="paragraph" w:customStyle="1" w:styleId="TableListNumber">
    <w:name w:val="Table List Number"/>
    <w:basedOn w:val="ListNumber"/>
    <w:rsid w:val="00031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6FC"/>
    <w:pPr>
      <w:numPr>
        <w:numId w:val="8"/>
      </w:numPr>
    </w:pPr>
  </w:style>
  <w:style w:type="paragraph" w:customStyle="1" w:styleId="ListAlpha2">
    <w:name w:val="List Alpha 2"/>
    <w:basedOn w:val="List2"/>
    <w:rsid w:val="000316FC"/>
    <w:pPr>
      <w:numPr>
        <w:numId w:val="7"/>
      </w:numPr>
    </w:pPr>
  </w:style>
  <w:style w:type="paragraph" w:styleId="List2">
    <w:name w:val="List 2"/>
    <w:basedOn w:val="BodyText"/>
    <w:rsid w:val="00031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6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6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6FC"/>
    <w:pPr>
      <w:numPr>
        <w:numId w:val="3"/>
      </w:numPr>
    </w:pPr>
  </w:style>
  <w:style w:type="paragraph" w:styleId="ListContinue2">
    <w:name w:val="List Continue 2"/>
    <w:basedOn w:val="List2"/>
    <w:rsid w:val="000316FC"/>
    <w:pPr>
      <w:ind w:firstLine="0"/>
    </w:pPr>
  </w:style>
  <w:style w:type="paragraph" w:styleId="ListContinue3">
    <w:name w:val="List Continue 3"/>
    <w:basedOn w:val="List3"/>
    <w:rsid w:val="000316FC"/>
    <w:pPr>
      <w:ind w:left="1021" w:firstLine="0"/>
    </w:pPr>
  </w:style>
  <w:style w:type="paragraph" w:styleId="ListContinue4">
    <w:name w:val="List Continue 4"/>
    <w:basedOn w:val="List4"/>
    <w:rsid w:val="000316FC"/>
    <w:pPr>
      <w:ind w:firstLine="0"/>
    </w:pPr>
  </w:style>
  <w:style w:type="paragraph" w:styleId="ListContinue5">
    <w:name w:val="List Continue 5"/>
    <w:basedOn w:val="List5"/>
    <w:rsid w:val="000316FC"/>
    <w:pPr>
      <w:ind w:firstLine="0"/>
    </w:pPr>
  </w:style>
  <w:style w:type="paragraph" w:styleId="ListNumber3">
    <w:name w:val="List Number 3"/>
    <w:basedOn w:val="List3"/>
    <w:rsid w:val="000316FC"/>
    <w:pPr>
      <w:numPr>
        <w:numId w:val="4"/>
      </w:numPr>
    </w:pPr>
  </w:style>
  <w:style w:type="paragraph" w:styleId="ListNumber4">
    <w:name w:val="List Number 4"/>
    <w:basedOn w:val="List4"/>
    <w:rsid w:val="000316FC"/>
    <w:pPr>
      <w:numPr>
        <w:numId w:val="5"/>
      </w:numPr>
    </w:pPr>
  </w:style>
  <w:style w:type="paragraph" w:styleId="ListNumber5">
    <w:name w:val="List Number 5"/>
    <w:basedOn w:val="List5"/>
    <w:rsid w:val="000316FC"/>
    <w:pPr>
      <w:numPr>
        <w:numId w:val="6"/>
      </w:numPr>
    </w:pPr>
  </w:style>
  <w:style w:type="paragraph" w:styleId="BlockText">
    <w:name w:val="Block Text"/>
    <w:basedOn w:val="Normal"/>
    <w:rsid w:val="00031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6FC"/>
    <w:rPr>
      <w:sz w:val="16"/>
      <w:vertAlign w:val="superscript"/>
    </w:rPr>
  </w:style>
  <w:style w:type="character" w:customStyle="1" w:styleId="Symbols">
    <w:name w:val="Symbols"/>
    <w:basedOn w:val="DefaultParagraphFont"/>
    <w:rsid w:val="000316FC"/>
    <w:rPr>
      <w:rFonts w:ascii="Symbol" w:hAnsi="Symbol"/>
    </w:rPr>
  </w:style>
  <w:style w:type="character" w:customStyle="1" w:styleId="MenuOptions">
    <w:name w:val="Menu Options"/>
    <w:basedOn w:val="DefaultParagraphFont"/>
    <w:rsid w:val="00031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6FC"/>
    <w:rPr>
      <w:b/>
    </w:rPr>
  </w:style>
  <w:style w:type="character" w:customStyle="1" w:styleId="Underlined">
    <w:name w:val="Underlined"/>
    <w:basedOn w:val="DefaultParagraphFont"/>
    <w:rsid w:val="000316FC"/>
    <w:rPr>
      <w:u w:val="single"/>
    </w:rPr>
  </w:style>
  <w:style w:type="paragraph" w:customStyle="1" w:styleId="TableBodyTextRight">
    <w:name w:val="Table Body Text Right"/>
    <w:basedOn w:val="TableBodyText"/>
    <w:rsid w:val="00031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6FC"/>
    <w:rPr>
      <w:sz w:val="18"/>
    </w:rPr>
  </w:style>
  <w:style w:type="paragraph" w:customStyle="1" w:styleId="BodySmallRight">
    <w:name w:val="Body Small Right"/>
    <w:basedOn w:val="BodyTextRight"/>
    <w:rsid w:val="000316FC"/>
    <w:rPr>
      <w:sz w:val="18"/>
      <w:szCs w:val="18"/>
    </w:rPr>
  </w:style>
  <w:style w:type="paragraph" w:customStyle="1" w:styleId="MarginEdition">
    <w:name w:val="Margin Edition"/>
    <w:basedOn w:val="MarginNote"/>
    <w:rsid w:val="00031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6FC"/>
    <w:rPr>
      <w:sz w:val="2"/>
      <w:szCs w:val="2"/>
    </w:rPr>
  </w:style>
  <w:style w:type="character" w:customStyle="1" w:styleId="Small">
    <w:name w:val="Small"/>
    <w:basedOn w:val="DefaultParagraphFont"/>
    <w:rsid w:val="000316FC"/>
    <w:rPr>
      <w:sz w:val="16"/>
    </w:rPr>
  </w:style>
  <w:style w:type="paragraph" w:customStyle="1" w:styleId="WideTable">
    <w:name w:val="Wide Table"/>
    <w:basedOn w:val="Normal"/>
    <w:rsid w:val="00031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6FC"/>
  </w:style>
  <w:style w:type="paragraph" w:styleId="Quote">
    <w:name w:val="Quote"/>
    <w:basedOn w:val="Heading1"/>
    <w:link w:val="QuoteChar"/>
    <w:qFormat/>
    <w:rsid w:val="00031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6FC"/>
    <w:pPr>
      <w:pageBreakBefore/>
    </w:pPr>
  </w:style>
  <w:style w:type="paragraph" w:customStyle="1" w:styleId="Border">
    <w:name w:val="Border"/>
    <w:basedOn w:val="Normal"/>
    <w:qFormat/>
    <w:rsid w:val="00031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6FC"/>
    <w:rPr>
      <w:u w:val="single"/>
    </w:rPr>
  </w:style>
  <w:style w:type="character" w:customStyle="1" w:styleId="BoldandItalics">
    <w:name w:val="Bold and Italics"/>
    <w:qFormat/>
    <w:rsid w:val="000316FC"/>
    <w:rPr>
      <w:b/>
      <w:i/>
      <w:u w:val="none"/>
    </w:rPr>
  </w:style>
  <w:style w:type="paragraph" w:styleId="BalloonText">
    <w:name w:val="Balloon Text"/>
    <w:basedOn w:val="Normal"/>
    <w:link w:val="BalloonTextChar"/>
    <w:rsid w:val="00031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6FC"/>
    <w:pPr>
      <w:spacing w:before="0" w:after="0"/>
    </w:pPr>
  </w:style>
  <w:style w:type="paragraph" w:customStyle="1" w:styleId="BodyTextBold">
    <w:name w:val="Body Text Bold"/>
    <w:basedOn w:val="BodyText"/>
    <w:qFormat/>
    <w:rsid w:val="000316FC"/>
    <w:rPr>
      <w:b/>
    </w:rPr>
  </w:style>
  <w:style w:type="character" w:styleId="Hyperlink">
    <w:name w:val="Hyperlink"/>
    <w:basedOn w:val="DefaultParagraphFont"/>
    <w:uiPriority w:val="99"/>
    <w:unhideWhenUsed/>
    <w:rsid w:val="00EC4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6276</Characters>
  <Application>Microsoft Office Word</Application>
  <DocSecurity>0</DocSecurity>
  <Lines>216</Lines>
  <Paragraphs>125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FNSCRD503 Promote understanding of the role and effective use of consumer credit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