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B60" w:rsidP="004F0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FNSCRD412 Establish and maintain appropriate security options for credit facilities</w:t>
      </w:r>
      <w:r>
        <w:fldChar w:fldCharType="end"/>
      </w:r>
    </w:p>
    <w:p w:rsidR="004F0B60" w:rsidP="004F0B60">
      <w:pPr>
        <w:pStyle w:val="Version"/>
        <w:sectPr w:rsidSect="00990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B11" w:rsidP="00990B11">
      <w:pPr>
        <w:pStyle w:val="SuperHeading"/>
      </w:pPr>
      <w:r w:rsidRPr="00990B11">
        <w:t>Assessment Requirements for FNSCRD412 Establish and maintain appropriate security options for credit facilities</w:t>
      </w:r>
    </w:p>
    <w:p w:rsidR="00000000" w:rsidRPr="00990B11" w:rsidP="00990B11">
      <w:pPr>
        <w:pStyle w:val="Heading1"/>
      </w:pPr>
      <w:bookmarkStart w:id="1" w:name="O_1235596"/>
      <w:bookmarkEnd w:id="1"/>
      <w:r w:rsidRPr="00990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0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11" w:rsidP="00990B11">
            <w:pPr>
              <w:pStyle w:val="BodyText"/>
            </w:pPr>
            <w:r w:rsidRPr="00990B1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11">
            <w:pPr>
              <w:pStyle w:val="BodyText"/>
              <w:rPr>
                <w:lang w:val="en-NZ"/>
              </w:rPr>
            </w:pPr>
            <w:r w:rsidRPr="00990B11">
              <w:rPr>
                <w:rStyle w:val="SpecialBold"/>
              </w:rPr>
              <w:t>Comments</w:t>
            </w:r>
          </w:p>
        </w:tc>
      </w:tr>
      <w:tr w:rsidTr="00990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11">
            <w:pPr>
              <w:pStyle w:val="BodyText"/>
              <w:rPr>
                <w:lang w:val="en-NZ"/>
              </w:rPr>
            </w:pPr>
            <w:r w:rsidRPr="00990B1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11" w:rsidP="00990B11">
            <w:pPr>
              <w:pStyle w:val="BodyText"/>
            </w:pPr>
            <w:r w:rsidRPr="00990B11">
              <w:t>This version first released with the FNS Financial Services Training Package Version 8.0.</w:t>
            </w:r>
          </w:p>
          <w:p w:rsidR="00000000" w:rsidRPr="00990B11" w:rsidP="00990B11">
            <w:pPr>
              <w:pStyle w:val="BodyText"/>
            </w:pPr>
            <w:r w:rsidRPr="00990B11">
              <w:t>Supersedes and is equivalent to FNSCRD402 Establish and maintain appropriate security.</w:t>
            </w:r>
          </w:p>
        </w:tc>
      </w:tr>
    </w:tbl>
    <w:p w:rsidR="00000000" w:rsidRPr="00990B11" w:rsidP="00990B11">
      <w:pPr>
        <w:pStyle w:val="BodyText"/>
      </w:pPr>
    </w:p>
    <w:p w:rsidR="00000000" w:rsidRPr="00990B11" w:rsidP="00990B11">
      <w:pPr>
        <w:pStyle w:val="AllowPageBreak"/>
      </w:pPr>
    </w:p>
    <w:p w:rsidR="00000000" w:rsidRPr="00990B11" w:rsidP="00990B11">
      <w:pPr>
        <w:pStyle w:val="Heading1"/>
      </w:pPr>
      <w:bookmarkStart w:id="2" w:name="O_1235597"/>
      <w:bookmarkEnd w:id="2"/>
      <w:r w:rsidRPr="00990B11">
        <w:t>Performance Evidence</w:t>
      </w:r>
    </w:p>
    <w:p w:rsidR="00000000" w:rsidRPr="00990B11" w:rsidP="004F0B60">
      <w:pPr>
        <w:pStyle w:val="BodyText"/>
      </w:pPr>
      <w:r w:rsidRPr="00990B11">
        <w:t>The candidate must demonstrate the ab</w:t>
      </w:r>
      <w:r w:rsidRPr="00990B11">
        <w:t>ility to complete the tasks outlined in the elements, performance criteria and foundation skills of this unit, including evidence of the ability to:</w:t>
      </w:r>
    </w:p>
    <w:p w:rsidR="00000000" w:rsidRPr="00990B11" w:rsidP="00990B11">
      <w:pPr>
        <w:pStyle w:val="ListBullet"/>
      </w:pPr>
      <w:r w:rsidRPr="00990B11">
        <w:t>establish and maintain appropriate security options for the credit facilities of at least two different cl</w:t>
      </w:r>
      <w:r w:rsidRPr="00990B11">
        <w:t>ients using security options appropriate to each client’s needs.</w:t>
      </w:r>
    </w:p>
    <w:p w:rsidR="00000000" w:rsidRPr="00990B11" w:rsidP="00990B11">
      <w:pPr>
        <w:pStyle w:val="BodyText"/>
      </w:pPr>
    </w:p>
    <w:p w:rsidR="00000000" w:rsidRPr="00990B11" w:rsidP="004F0B60">
      <w:pPr>
        <w:pStyle w:val="BodyText"/>
      </w:pPr>
      <w:r w:rsidRPr="00990B11">
        <w:t>In the course of the above, the candidate must:</w:t>
      </w:r>
    </w:p>
    <w:p w:rsidR="00000000" w:rsidRPr="00990B11" w:rsidP="00990B11">
      <w:pPr>
        <w:pStyle w:val="ListBullet"/>
      </w:pPr>
      <w:r w:rsidRPr="00990B11">
        <w:t>comply with legislative requirements, industry regulations, codes of practice and organisation’s credit policy.</w:t>
      </w:r>
    </w:p>
    <w:p w:rsidR="00000000" w:rsidRPr="00990B11" w:rsidP="00990B11">
      <w:pPr>
        <w:pStyle w:val="AllowPageBreak"/>
      </w:pPr>
    </w:p>
    <w:p w:rsidR="00000000" w:rsidRPr="00990B11" w:rsidP="00990B11">
      <w:pPr>
        <w:pStyle w:val="Heading1"/>
      </w:pPr>
      <w:bookmarkStart w:id="3" w:name="O_1235598"/>
      <w:bookmarkEnd w:id="3"/>
      <w:r w:rsidRPr="00990B11">
        <w:t>Knowledge Evidence</w:t>
      </w:r>
    </w:p>
    <w:p w:rsidR="00000000" w:rsidRPr="00990B11" w:rsidP="004F0B60">
      <w:pPr>
        <w:pStyle w:val="BodyText"/>
      </w:pPr>
      <w:r w:rsidRPr="00990B11">
        <w:t>The candidate must be able to demonstrate knowledge to complete the tasks outlined in the elements, performance criteria and foundation skills of this unit, including knowledge of:</w:t>
      </w:r>
    </w:p>
    <w:p w:rsidR="00000000" w:rsidRPr="00990B11" w:rsidP="00990B11">
      <w:pPr>
        <w:pStyle w:val="ListBullet"/>
      </w:pPr>
      <w:r w:rsidRPr="00990B11">
        <w:t>current conditions in the credit management sector</w:t>
      </w:r>
    </w:p>
    <w:p w:rsidR="00000000" w:rsidRPr="00990B11" w:rsidP="00990B11">
      <w:pPr>
        <w:pStyle w:val="ListBullet"/>
      </w:pPr>
      <w:r w:rsidRPr="00990B11">
        <w:t>orga</w:t>
      </w:r>
      <w:r w:rsidRPr="00990B11">
        <w:t>nisational credit policies and guidelines, including:</w:t>
      </w:r>
    </w:p>
    <w:p w:rsidR="00000000" w:rsidRPr="00990B11" w:rsidP="00990B11">
      <w:pPr>
        <w:pStyle w:val="ListBullet2"/>
      </w:pPr>
      <w:r w:rsidRPr="00990B11">
        <w:t>valuation processes relevant to own role</w:t>
      </w:r>
    </w:p>
    <w:p w:rsidR="00000000" w:rsidRPr="00990B11" w:rsidP="00990B11">
      <w:pPr>
        <w:pStyle w:val="ListBullet2"/>
      </w:pPr>
      <w:r w:rsidRPr="00990B11">
        <w:t>guidelines for dealing with customers with specific security requirements for their credit facilities</w:t>
      </w:r>
    </w:p>
    <w:p w:rsidR="00000000" w:rsidRPr="00990B11" w:rsidP="00990B11">
      <w:pPr>
        <w:pStyle w:val="ListBullet"/>
      </w:pPr>
      <w:r w:rsidRPr="00990B11">
        <w:t>range of security options for credit, including:</w:t>
      </w:r>
    </w:p>
    <w:p w:rsidR="00000000" w:rsidRPr="00990B11" w:rsidP="00990B11">
      <w:pPr>
        <w:pStyle w:val="ListBullet2"/>
      </w:pPr>
      <w:r w:rsidRPr="00990B11">
        <w:t>mortgag</w:t>
      </w:r>
      <w:r w:rsidRPr="00990B11">
        <w:t>e security</w:t>
      </w:r>
    </w:p>
    <w:p w:rsidR="00000000" w:rsidRPr="00990B11" w:rsidP="00990B11">
      <w:pPr>
        <w:pStyle w:val="ListBullet2"/>
      </w:pPr>
      <w:r w:rsidRPr="00990B11">
        <w:t>personal property security, including motor vehicles</w:t>
      </w:r>
    </w:p>
    <w:p w:rsidR="00000000" w:rsidRPr="00990B11" w:rsidP="00990B11">
      <w:pPr>
        <w:pStyle w:val="ListBullet2"/>
      </w:pPr>
      <w:r w:rsidRPr="00990B11">
        <w:t>guarantees</w:t>
      </w:r>
    </w:p>
    <w:p w:rsidR="00000000" w:rsidRPr="00990B11" w:rsidP="00990B11">
      <w:pPr>
        <w:pStyle w:val="ListBullet"/>
      </w:pPr>
      <w:r w:rsidRPr="00990B11">
        <w:t>legislation, regulations and codes of practice relevant to security, including:</w:t>
      </w:r>
    </w:p>
    <w:p w:rsidR="00000000" w:rsidRPr="00990B11" w:rsidP="00990B11">
      <w:pPr>
        <w:pStyle w:val="ListBullet2"/>
      </w:pPr>
      <w:r w:rsidRPr="00990B11">
        <w:t>stamp duty</w:t>
      </w:r>
    </w:p>
    <w:p w:rsidR="00000000" w:rsidRPr="00990B11" w:rsidP="00990B11">
      <w:pPr>
        <w:pStyle w:val="ListBullet2"/>
      </w:pPr>
      <w:r w:rsidRPr="00990B11">
        <w:t>land title dealing</w:t>
      </w:r>
    </w:p>
    <w:p w:rsidR="00000000" w:rsidRPr="00990B11" w:rsidP="00990B11">
      <w:pPr>
        <w:pStyle w:val="ListBullet"/>
      </w:pPr>
      <w:r w:rsidRPr="00990B11">
        <w:t>requirements and operations of the personal property securities register (PPSR), including:</w:t>
      </w:r>
    </w:p>
    <w:p w:rsidR="00000000" w:rsidRPr="00990B11" w:rsidP="00990B11">
      <w:pPr>
        <w:pStyle w:val="ListBullet2"/>
      </w:pPr>
      <w:r w:rsidRPr="00990B11">
        <w:t>PPSR search features</w:t>
      </w:r>
    </w:p>
    <w:p w:rsidR="00000000" w:rsidRPr="00990B11" w:rsidP="00990B11">
      <w:pPr>
        <w:pStyle w:val="ListBullet2"/>
      </w:pPr>
      <w:r w:rsidRPr="00990B11">
        <w:t>registration processes</w:t>
      </w:r>
    </w:p>
    <w:p w:rsidR="00000000" w:rsidRPr="00990B11" w:rsidP="00990B11">
      <w:pPr>
        <w:pStyle w:val="ListBullet2"/>
      </w:pPr>
      <w:r w:rsidRPr="00990B11">
        <w:t>purchase money security interests</w:t>
      </w:r>
    </w:p>
    <w:p w:rsidR="00000000" w:rsidRPr="00990B11" w:rsidP="00990B11">
      <w:pPr>
        <w:pStyle w:val="ListBullet"/>
      </w:pPr>
      <w:r w:rsidRPr="00990B11">
        <w:t>communication strategies to inform customers of appropriate security options relevan</w:t>
      </w:r>
      <w:r w:rsidRPr="00990B11">
        <w:t>t to their needs.</w:t>
      </w:r>
    </w:p>
    <w:p w:rsidR="00000000" w:rsidRPr="00990B11" w:rsidP="00990B11">
      <w:pPr>
        <w:pStyle w:val="AllowPageBreak"/>
      </w:pPr>
    </w:p>
    <w:p w:rsidR="00000000" w:rsidRPr="00990B11" w:rsidP="00990B11">
      <w:pPr>
        <w:pStyle w:val="Heading1"/>
      </w:pPr>
      <w:bookmarkStart w:id="4" w:name="O_1235599"/>
      <w:bookmarkEnd w:id="4"/>
      <w:r w:rsidRPr="00990B11">
        <w:t>Assessment Conditions</w:t>
      </w:r>
    </w:p>
    <w:p w:rsidR="00000000" w:rsidRPr="00990B11" w:rsidP="004F0B60">
      <w:pPr>
        <w:pStyle w:val="BodyText"/>
      </w:pPr>
      <w:r w:rsidRPr="00990B11">
        <w:t>Skills in this unit must be demonstrated in a workplace or simulated environment where the conditions are typical of those in a working environment in this industry.</w:t>
      </w:r>
    </w:p>
    <w:p w:rsidR="00000000" w:rsidRPr="00990B11" w:rsidP="004F0B60">
      <w:pPr>
        <w:pStyle w:val="BodyText"/>
      </w:pPr>
      <w:r w:rsidRPr="00990B11">
        <w:t>This includes access to:</w:t>
      </w:r>
    </w:p>
    <w:p w:rsidR="00000000" w:rsidRPr="00990B11" w:rsidP="00990B11">
      <w:pPr>
        <w:pStyle w:val="ListBullet"/>
      </w:pPr>
      <w:r w:rsidRPr="00990B11">
        <w:t>offic</w:t>
      </w:r>
      <w:r w:rsidRPr="00990B11">
        <w:t>e equipment, technology and consumables</w:t>
      </w:r>
    </w:p>
    <w:p w:rsidR="00000000" w:rsidRPr="00990B11" w:rsidP="00990B11">
      <w:pPr>
        <w:pStyle w:val="ListBullet"/>
      </w:pPr>
      <w:r w:rsidRPr="00990B11">
        <w:t xml:space="preserve">information on credit policies, loan securities and risk minimisation </w:t>
      </w:r>
    </w:p>
    <w:p w:rsidR="00000000" w:rsidRPr="00990B11" w:rsidP="00990B11">
      <w:pPr>
        <w:pStyle w:val="ListBullet"/>
      </w:pPr>
      <w:r w:rsidRPr="00990B11">
        <w:t>clients requiring security options for credit facilities</w:t>
      </w:r>
    </w:p>
    <w:p w:rsidR="00000000" w:rsidRPr="00990B11" w:rsidP="00990B11">
      <w:pPr>
        <w:pStyle w:val="ListBullet"/>
      </w:pPr>
      <w:r w:rsidRPr="00990B11">
        <w:t>organisational policies and procedures.</w:t>
      </w:r>
    </w:p>
    <w:p w:rsidR="00000000" w:rsidRPr="00990B11" w:rsidP="00990B11">
      <w:pPr>
        <w:pStyle w:val="BodyText"/>
      </w:pPr>
    </w:p>
    <w:p w:rsidR="00000000" w:rsidRPr="00990B11" w:rsidP="004F0B60">
      <w:pPr>
        <w:pStyle w:val="BodyText"/>
      </w:pPr>
      <w:r w:rsidRPr="00990B11">
        <w:t>Assessors of this unit must satisfy the requirements for assessors in applicable vocational education and training legislation, frameworks and/or standards.</w:t>
      </w:r>
    </w:p>
    <w:p w:rsidR="00000000" w:rsidRPr="00990B11" w:rsidP="00990B11">
      <w:pPr>
        <w:pStyle w:val="Heading1"/>
      </w:pPr>
      <w:bookmarkStart w:id="5" w:name="O_1235602"/>
      <w:bookmarkEnd w:id="5"/>
      <w:r w:rsidRPr="00990B11">
        <w:t>Links</w:t>
      </w:r>
    </w:p>
    <w:p w:rsidR="00000000" w:rsidRPr="00990B11" w:rsidP="004F0B60">
      <w:pPr>
        <w:pStyle w:val="BodyText"/>
      </w:pPr>
      <w:r w:rsidRPr="00990B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7C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0B11" w:rsidP="00990B11"/>
    <w:sectPr w:rsidSect="00990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11" w:rsidRPr="004F0B60" w:rsidP="004F0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60" w:rsidP="00990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B60" w:rsidP="00990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B60" w:rsidP="00990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B11" w:rsidRPr="004F0B60" w:rsidP="004F0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60" w:rsidRPr="002D2AF8" w:rsidP="00990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FNSCRD412 Establish and maintain appropriate security options for credit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F0B60" w:rsidP="00990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02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0C3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41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B11"/>
  </w:style>
  <w:style w:type="character" w:customStyle="1" w:styleId="Heading1Char">
    <w:name w:val="Heading 1 Char"/>
    <w:basedOn w:val="DefaultParagraphFont"/>
    <w:link w:val="Heading1"/>
    <w:rsid w:val="00990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B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B11"/>
    <w:rPr>
      <w:b/>
      <w:spacing w:val="0"/>
    </w:rPr>
  </w:style>
  <w:style w:type="paragraph" w:styleId="ListBullet2">
    <w:name w:val="List Bullet 2"/>
    <w:basedOn w:val="List2"/>
    <w:rsid w:val="00990B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B11"/>
    <w:rPr>
      <w:i/>
    </w:rPr>
  </w:style>
  <w:style w:type="paragraph" w:styleId="Caption">
    <w:name w:val="caption"/>
    <w:basedOn w:val="BodyText"/>
    <w:next w:val="Normal"/>
    <w:qFormat/>
    <w:rsid w:val="00990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B11"/>
  </w:style>
  <w:style w:type="paragraph" w:styleId="TableofFigures">
    <w:name w:val="table of figures"/>
    <w:basedOn w:val="Normal"/>
    <w:next w:val="Normal"/>
    <w:semiHidden/>
    <w:rsid w:val="00990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B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B11"/>
    <w:rPr>
      <w:rFonts w:ascii="Wingdings" w:hAnsi="Wingdings"/>
    </w:rPr>
  </w:style>
  <w:style w:type="paragraph" w:customStyle="1" w:styleId="TableHeading">
    <w:name w:val="Table Heading"/>
    <w:basedOn w:val="HeadingBase"/>
    <w:rsid w:val="00990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B11"/>
    <w:rPr>
      <w:color w:val="0033CC"/>
      <w:u w:val="none"/>
    </w:rPr>
  </w:style>
  <w:style w:type="paragraph" w:customStyle="1" w:styleId="BodyTextRight">
    <w:name w:val="Body Text Right"/>
    <w:basedOn w:val="BodyText"/>
    <w:rsid w:val="00990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B11"/>
    <w:rPr>
      <w:sz w:val="32"/>
    </w:rPr>
  </w:style>
  <w:style w:type="paragraph" w:customStyle="1" w:styleId="HeadingProcedure">
    <w:name w:val="Heading Procedure"/>
    <w:basedOn w:val="HeadingBase"/>
    <w:next w:val="Normal"/>
    <w:rsid w:val="00990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B11"/>
    <w:pPr>
      <w:spacing w:before="60" w:after="60"/>
    </w:pPr>
  </w:style>
  <w:style w:type="paragraph" w:styleId="ListContinue">
    <w:name w:val="List Continue"/>
    <w:basedOn w:val="List"/>
    <w:rsid w:val="00990B11"/>
    <w:pPr>
      <w:ind w:firstLine="0"/>
    </w:pPr>
  </w:style>
  <w:style w:type="paragraph" w:customStyle="1" w:styleId="ListNote">
    <w:name w:val="List Note"/>
    <w:basedOn w:val="List"/>
    <w:rsid w:val="00990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B11"/>
    <w:rPr>
      <w:rFonts w:ascii="Courier New" w:hAnsi="Courier New"/>
    </w:rPr>
  </w:style>
  <w:style w:type="paragraph" w:customStyle="1" w:styleId="NoteBullet">
    <w:name w:val="Note Bullet"/>
    <w:basedOn w:val="Note"/>
    <w:rsid w:val="00990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B11"/>
    <w:rPr>
      <w:b/>
      <w:smallCaps/>
    </w:rPr>
  </w:style>
  <w:style w:type="paragraph" w:customStyle="1" w:styleId="TableListNumber">
    <w:name w:val="Table List Number"/>
    <w:basedOn w:val="ListNumber"/>
    <w:rsid w:val="00990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B11"/>
    <w:pPr>
      <w:numPr>
        <w:numId w:val="9"/>
      </w:numPr>
    </w:pPr>
  </w:style>
  <w:style w:type="paragraph" w:customStyle="1" w:styleId="ListAlpha2">
    <w:name w:val="List Alpha 2"/>
    <w:basedOn w:val="List2"/>
    <w:rsid w:val="00990B11"/>
    <w:pPr>
      <w:numPr>
        <w:numId w:val="8"/>
      </w:numPr>
    </w:pPr>
  </w:style>
  <w:style w:type="paragraph" w:styleId="List2">
    <w:name w:val="List 2"/>
    <w:basedOn w:val="BodyText"/>
    <w:rsid w:val="00990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B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B11"/>
    <w:pPr>
      <w:numPr>
        <w:numId w:val="4"/>
      </w:numPr>
    </w:pPr>
  </w:style>
  <w:style w:type="paragraph" w:styleId="ListContinue2">
    <w:name w:val="List Continue 2"/>
    <w:basedOn w:val="List2"/>
    <w:rsid w:val="00990B11"/>
    <w:pPr>
      <w:ind w:firstLine="0"/>
    </w:pPr>
  </w:style>
  <w:style w:type="paragraph" w:styleId="ListContinue3">
    <w:name w:val="List Continue 3"/>
    <w:basedOn w:val="List3"/>
    <w:rsid w:val="00990B11"/>
    <w:pPr>
      <w:ind w:left="1021" w:firstLine="0"/>
    </w:pPr>
  </w:style>
  <w:style w:type="paragraph" w:styleId="ListContinue4">
    <w:name w:val="List Continue 4"/>
    <w:basedOn w:val="List4"/>
    <w:rsid w:val="00990B11"/>
    <w:pPr>
      <w:ind w:firstLine="0"/>
    </w:pPr>
  </w:style>
  <w:style w:type="paragraph" w:styleId="ListContinue5">
    <w:name w:val="List Continue 5"/>
    <w:basedOn w:val="List5"/>
    <w:rsid w:val="00990B11"/>
    <w:pPr>
      <w:ind w:firstLine="0"/>
    </w:pPr>
  </w:style>
  <w:style w:type="paragraph" w:styleId="ListNumber3">
    <w:name w:val="List Number 3"/>
    <w:basedOn w:val="List3"/>
    <w:rsid w:val="00990B11"/>
    <w:pPr>
      <w:numPr>
        <w:numId w:val="5"/>
      </w:numPr>
    </w:pPr>
  </w:style>
  <w:style w:type="paragraph" w:styleId="ListNumber4">
    <w:name w:val="List Number 4"/>
    <w:basedOn w:val="List4"/>
    <w:rsid w:val="00990B11"/>
    <w:pPr>
      <w:numPr>
        <w:numId w:val="6"/>
      </w:numPr>
    </w:pPr>
  </w:style>
  <w:style w:type="paragraph" w:styleId="ListNumber5">
    <w:name w:val="List Number 5"/>
    <w:basedOn w:val="List5"/>
    <w:rsid w:val="00990B11"/>
    <w:pPr>
      <w:numPr>
        <w:numId w:val="7"/>
      </w:numPr>
    </w:pPr>
  </w:style>
  <w:style w:type="paragraph" w:styleId="BlockText">
    <w:name w:val="Block Text"/>
    <w:basedOn w:val="Normal"/>
    <w:rsid w:val="00990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B11"/>
    <w:rPr>
      <w:sz w:val="16"/>
      <w:vertAlign w:val="superscript"/>
    </w:rPr>
  </w:style>
  <w:style w:type="character" w:customStyle="1" w:styleId="Symbols">
    <w:name w:val="Symbols"/>
    <w:basedOn w:val="DefaultParagraphFont"/>
    <w:rsid w:val="00990B11"/>
    <w:rPr>
      <w:rFonts w:ascii="Symbol" w:hAnsi="Symbol"/>
    </w:rPr>
  </w:style>
  <w:style w:type="character" w:customStyle="1" w:styleId="MenuOptions">
    <w:name w:val="Menu Options"/>
    <w:basedOn w:val="DefaultParagraphFont"/>
    <w:rsid w:val="00990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B11"/>
    <w:rPr>
      <w:b/>
    </w:rPr>
  </w:style>
  <w:style w:type="character" w:customStyle="1" w:styleId="Underlined">
    <w:name w:val="Underlined"/>
    <w:basedOn w:val="DefaultParagraphFont"/>
    <w:rsid w:val="00990B11"/>
    <w:rPr>
      <w:u w:val="single"/>
    </w:rPr>
  </w:style>
  <w:style w:type="paragraph" w:customStyle="1" w:styleId="TableBodyTextRight">
    <w:name w:val="Table Body Text Right"/>
    <w:basedOn w:val="TableBodyText"/>
    <w:rsid w:val="00990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B11"/>
    <w:rPr>
      <w:sz w:val="18"/>
    </w:rPr>
  </w:style>
  <w:style w:type="paragraph" w:customStyle="1" w:styleId="BodySmallRight">
    <w:name w:val="Body Small Right"/>
    <w:basedOn w:val="BodyTextRight"/>
    <w:rsid w:val="00990B11"/>
    <w:rPr>
      <w:sz w:val="18"/>
      <w:szCs w:val="18"/>
    </w:rPr>
  </w:style>
  <w:style w:type="paragraph" w:customStyle="1" w:styleId="MarginEdition">
    <w:name w:val="Margin Edition"/>
    <w:basedOn w:val="MarginNote"/>
    <w:rsid w:val="00990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B11"/>
    <w:rPr>
      <w:sz w:val="2"/>
      <w:szCs w:val="2"/>
    </w:rPr>
  </w:style>
  <w:style w:type="character" w:customStyle="1" w:styleId="Small">
    <w:name w:val="Small"/>
    <w:basedOn w:val="DefaultParagraphFont"/>
    <w:rsid w:val="00990B11"/>
    <w:rPr>
      <w:sz w:val="16"/>
    </w:rPr>
  </w:style>
  <w:style w:type="paragraph" w:customStyle="1" w:styleId="WideTable">
    <w:name w:val="Wide Table"/>
    <w:basedOn w:val="Normal"/>
    <w:rsid w:val="00990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B11"/>
  </w:style>
  <w:style w:type="paragraph" w:styleId="Quote">
    <w:name w:val="Quote"/>
    <w:basedOn w:val="Heading1"/>
    <w:link w:val="QuoteChar"/>
    <w:qFormat/>
    <w:rsid w:val="00990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B11"/>
    <w:pPr>
      <w:pageBreakBefore/>
    </w:pPr>
  </w:style>
  <w:style w:type="paragraph" w:customStyle="1" w:styleId="Border">
    <w:name w:val="Border"/>
    <w:basedOn w:val="Normal"/>
    <w:qFormat/>
    <w:rsid w:val="00990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B11"/>
    <w:rPr>
      <w:u w:val="single"/>
    </w:rPr>
  </w:style>
  <w:style w:type="character" w:customStyle="1" w:styleId="BoldandItalics">
    <w:name w:val="Bold and Italics"/>
    <w:qFormat/>
    <w:rsid w:val="00990B11"/>
    <w:rPr>
      <w:b/>
      <w:i/>
      <w:u w:val="none"/>
    </w:rPr>
  </w:style>
  <w:style w:type="paragraph" w:styleId="BalloonText">
    <w:name w:val="Balloon Text"/>
    <w:basedOn w:val="Normal"/>
    <w:link w:val="BalloonTextChar"/>
    <w:rsid w:val="00990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B11"/>
    <w:pPr>
      <w:spacing w:before="0" w:after="0"/>
    </w:pPr>
  </w:style>
  <w:style w:type="paragraph" w:customStyle="1" w:styleId="BodyTextBold">
    <w:name w:val="Body Text Bold"/>
    <w:basedOn w:val="BodyText"/>
    <w:qFormat/>
    <w:rsid w:val="00990B11"/>
    <w:rPr>
      <w:b/>
    </w:rPr>
  </w:style>
  <w:style w:type="character" w:styleId="Hyperlink">
    <w:name w:val="Hyperlink"/>
    <w:basedOn w:val="DefaultParagraphFont"/>
    <w:uiPriority w:val="99"/>
    <w:unhideWhenUsed/>
    <w:rsid w:val="004F0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2507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FNSCRD412 Establish and maintain appropriate security options for credit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