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73A" w:rsidP="009F5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FNSBNK512 Assess complex loans</w:t>
      </w:r>
      <w:r>
        <w:fldChar w:fldCharType="end"/>
      </w:r>
    </w:p>
    <w:p w:rsidR="009F573A" w:rsidP="009F573A">
      <w:pPr>
        <w:pStyle w:val="Version"/>
        <w:sectPr w:rsidSect="00E73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06E" w:rsidP="00E7306E">
      <w:pPr>
        <w:pStyle w:val="SuperHeading"/>
      </w:pPr>
      <w:r w:rsidRPr="00E7306E">
        <w:t>Assessment Requirements for FNSBNK512 Assess complex loans</w:t>
      </w:r>
    </w:p>
    <w:p w:rsidR="00000000" w:rsidRPr="00E7306E" w:rsidP="00E7306E">
      <w:pPr>
        <w:pStyle w:val="Heading1"/>
      </w:pPr>
      <w:bookmarkStart w:id="1" w:name="O_1075459"/>
      <w:bookmarkEnd w:id="1"/>
      <w:r w:rsidRPr="00E730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06E" w:rsidP="00E7306E">
            <w:pPr>
              <w:pStyle w:val="BodyText"/>
            </w:pPr>
            <w:r w:rsidRPr="00E730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06E">
            <w:pPr>
              <w:pStyle w:val="BodyText"/>
              <w:rPr>
                <w:lang w:val="en-NZ"/>
              </w:rPr>
            </w:pPr>
            <w:r w:rsidRPr="00E7306E">
              <w:rPr>
                <w:rStyle w:val="SpecialBold"/>
              </w:rPr>
              <w:t>Comments</w:t>
            </w:r>
          </w:p>
        </w:tc>
      </w:tr>
      <w:tr w:rsidTr="00E7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06E">
            <w:pPr>
              <w:pStyle w:val="BodyText"/>
              <w:rPr>
                <w:lang w:val="en-NZ"/>
              </w:rPr>
            </w:pPr>
            <w:r w:rsidRPr="00E730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06E" w:rsidP="00E7306E">
            <w:pPr>
              <w:pStyle w:val="BodyText"/>
            </w:pPr>
            <w:r w:rsidRPr="00E7306E">
              <w:t>This version first released with FNS Financial Services Training Package Version 4.0.</w:t>
            </w:r>
          </w:p>
        </w:tc>
      </w:tr>
    </w:tbl>
    <w:p w:rsidR="00000000" w:rsidRPr="00E7306E" w:rsidP="00E7306E">
      <w:pPr>
        <w:pStyle w:val="BodyText"/>
      </w:pPr>
    </w:p>
    <w:p w:rsidR="00000000" w:rsidRPr="00E7306E" w:rsidP="00E7306E">
      <w:pPr>
        <w:pStyle w:val="AllowPageBreak"/>
      </w:pPr>
    </w:p>
    <w:p w:rsidR="00000000" w:rsidRPr="00E7306E" w:rsidP="00E7306E">
      <w:pPr>
        <w:pStyle w:val="Heading1"/>
      </w:pPr>
      <w:bookmarkStart w:id="2" w:name="O_1075460"/>
      <w:bookmarkEnd w:id="2"/>
      <w:r w:rsidRPr="00E7306E">
        <w:t>Performance Evidence</w:t>
      </w:r>
    </w:p>
    <w:p w:rsidR="00000000" w:rsidRPr="00E7306E" w:rsidP="009F573A">
      <w:pPr>
        <w:pStyle w:val="BodyText"/>
      </w:pPr>
      <w:r w:rsidRPr="00E7306E">
        <w:t>The candidate must demonstrate the ability to complete the ta</w:t>
      </w:r>
      <w:r w:rsidRPr="00E7306E">
        <w:t>sks outlined in the elements, performance criteria and foundation skills of this unit, including evidence of the ability to:</w:t>
      </w:r>
    </w:p>
    <w:p w:rsidR="00000000" w:rsidRPr="00E7306E" w:rsidP="00E7306E">
      <w:pPr>
        <w:pStyle w:val="ListBullet"/>
      </w:pPr>
      <w:r w:rsidRPr="00E7306E">
        <w:t>assess complex loans for at least three clients.</w:t>
      </w:r>
    </w:p>
    <w:p w:rsidR="00000000" w:rsidRPr="00E7306E" w:rsidP="00E7306E">
      <w:pPr>
        <w:pStyle w:val="BodyText"/>
      </w:pPr>
    </w:p>
    <w:p w:rsidR="00000000" w:rsidRPr="00E7306E" w:rsidP="009F573A">
      <w:pPr>
        <w:pStyle w:val="BodyText"/>
      </w:pPr>
      <w:r w:rsidRPr="00E7306E">
        <w:t>In the course of the above, the candidate must:</w:t>
      </w:r>
    </w:p>
    <w:p w:rsidR="00000000" w:rsidRPr="00E7306E" w:rsidP="00E7306E">
      <w:pPr>
        <w:pStyle w:val="ListBullet"/>
      </w:pPr>
      <w:r w:rsidRPr="00E7306E">
        <w:t>assess the impact of each optio</w:t>
      </w:r>
      <w:r w:rsidRPr="00E7306E">
        <w:t>n on the client’s financial circumstances</w:t>
      </w:r>
    </w:p>
    <w:p w:rsidR="00000000" w:rsidRPr="00E7306E" w:rsidP="00E7306E">
      <w:pPr>
        <w:pStyle w:val="ListBullet"/>
      </w:pPr>
      <w:r w:rsidRPr="00E7306E">
        <w:t>comply with relevant legislative, regulatory and organisational requirements pertaining to dealing with clients in difficult circumstances.</w:t>
      </w:r>
    </w:p>
    <w:p w:rsidR="00000000" w:rsidRPr="00E7306E" w:rsidP="00E7306E">
      <w:pPr>
        <w:pStyle w:val="AllowPageBreak"/>
      </w:pPr>
    </w:p>
    <w:p w:rsidR="00000000" w:rsidRPr="00E7306E" w:rsidP="00E7306E">
      <w:pPr>
        <w:pStyle w:val="Heading1"/>
      </w:pPr>
      <w:bookmarkStart w:id="3" w:name="O_1075461"/>
      <w:bookmarkEnd w:id="3"/>
      <w:r w:rsidRPr="00E7306E">
        <w:t>Knowledge Evidence</w:t>
      </w:r>
    </w:p>
    <w:p w:rsidR="00000000" w:rsidRPr="00E7306E" w:rsidP="009F573A">
      <w:pPr>
        <w:pStyle w:val="BodyText"/>
      </w:pPr>
      <w:r w:rsidRPr="00E7306E">
        <w:t>The candidate must be able to demonstrate knowledge to complete the tasks outlined in the elements, performance criteria and foundation skills of this unit, including knowledge of:</w:t>
      </w:r>
    </w:p>
    <w:p w:rsidR="00000000" w:rsidRPr="00E7306E" w:rsidP="00E7306E">
      <w:pPr>
        <w:pStyle w:val="ListBullet"/>
      </w:pPr>
      <w:r w:rsidRPr="00E7306E">
        <w:t>features and benefits of credit products and their application requirement</w:t>
      </w:r>
      <w:r w:rsidRPr="00E7306E">
        <w:t>s</w:t>
      </w:r>
    </w:p>
    <w:p w:rsidR="00000000" w:rsidRPr="00E7306E" w:rsidP="00E7306E">
      <w:pPr>
        <w:pStyle w:val="ListBullet"/>
      </w:pPr>
      <w:r w:rsidRPr="00E7306E">
        <w:t>complex features of a client’s financial situation including:</w:t>
      </w:r>
    </w:p>
    <w:p w:rsidR="00000000" w:rsidRPr="00E7306E" w:rsidP="00E7306E">
      <w:pPr>
        <w:pStyle w:val="ListBullet2"/>
      </w:pPr>
      <w:r w:rsidRPr="00E7306E">
        <w:t>high assets</w:t>
      </w:r>
    </w:p>
    <w:p w:rsidR="00000000" w:rsidRPr="00E7306E" w:rsidP="00E7306E">
      <w:pPr>
        <w:pStyle w:val="ListBullet2"/>
      </w:pPr>
      <w:r w:rsidRPr="00E7306E">
        <w:t xml:space="preserve">income </w:t>
      </w:r>
    </w:p>
    <w:p w:rsidR="00000000" w:rsidRPr="00E7306E" w:rsidP="00E7306E">
      <w:pPr>
        <w:pStyle w:val="ListBullet2"/>
      </w:pPr>
      <w:r w:rsidRPr="00E7306E">
        <w:t>expenditure requirements</w:t>
      </w:r>
    </w:p>
    <w:p w:rsidR="00000000" w:rsidRPr="00E7306E" w:rsidP="00E7306E">
      <w:pPr>
        <w:pStyle w:val="ListBullet2"/>
      </w:pPr>
      <w:r w:rsidRPr="00E7306E">
        <w:t>complex taxation</w:t>
      </w:r>
    </w:p>
    <w:p w:rsidR="00000000" w:rsidRPr="00E7306E" w:rsidP="00E7306E">
      <w:pPr>
        <w:pStyle w:val="ListBullet2"/>
      </w:pPr>
      <w:r w:rsidRPr="00E7306E">
        <w:t xml:space="preserve">nature and forms of securities to be taken </w:t>
      </w:r>
    </w:p>
    <w:p w:rsidR="00000000" w:rsidRPr="00E7306E" w:rsidP="00E7306E">
      <w:pPr>
        <w:pStyle w:val="ListBullet2"/>
      </w:pPr>
      <w:r w:rsidRPr="00E7306E">
        <w:t>legal issues</w:t>
      </w:r>
    </w:p>
    <w:p w:rsidR="00000000" w:rsidRPr="00E7306E" w:rsidP="00E7306E">
      <w:pPr>
        <w:pStyle w:val="ListBullet"/>
      </w:pPr>
      <w:r w:rsidRPr="00E7306E">
        <w:t xml:space="preserve">organisational risk management policy </w:t>
      </w:r>
    </w:p>
    <w:p w:rsidR="00000000" w:rsidRPr="00E7306E" w:rsidP="00E7306E">
      <w:pPr>
        <w:pStyle w:val="ListBullet"/>
      </w:pPr>
      <w:r w:rsidRPr="00E7306E">
        <w:t>different structures available t</w:t>
      </w:r>
      <w:r w:rsidRPr="00E7306E">
        <w:t>o clients to meet their financial goals including:</w:t>
      </w:r>
    </w:p>
    <w:p w:rsidR="00000000" w:rsidRPr="00E7306E" w:rsidP="00E7306E">
      <w:pPr>
        <w:pStyle w:val="ListBullet2"/>
      </w:pPr>
      <w:r w:rsidRPr="00E7306E">
        <w:t>sole trader</w:t>
      </w:r>
    </w:p>
    <w:p w:rsidR="00000000" w:rsidRPr="00E7306E" w:rsidP="00E7306E">
      <w:pPr>
        <w:pStyle w:val="ListBullet2"/>
      </w:pPr>
      <w:r w:rsidRPr="00E7306E">
        <w:t>partnership</w:t>
      </w:r>
    </w:p>
    <w:p w:rsidR="00000000" w:rsidRPr="00E7306E" w:rsidP="00E7306E">
      <w:pPr>
        <w:pStyle w:val="ListBullet2"/>
      </w:pPr>
      <w:r w:rsidRPr="00E7306E">
        <w:t xml:space="preserve">company </w:t>
      </w:r>
    </w:p>
    <w:p w:rsidR="00000000" w:rsidRPr="00E7306E" w:rsidP="00E7306E">
      <w:pPr>
        <w:pStyle w:val="ListBullet2"/>
      </w:pPr>
      <w:r w:rsidRPr="00E7306E">
        <w:t>trust – family, unit and hybrid</w:t>
      </w:r>
    </w:p>
    <w:p w:rsidR="00000000" w:rsidRPr="00E7306E" w:rsidP="00E7306E">
      <w:pPr>
        <w:pStyle w:val="ListBullet"/>
      </w:pPr>
      <w:r w:rsidRPr="00E7306E">
        <w:t>partnership, company and trust in relation to:</w:t>
      </w:r>
    </w:p>
    <w:p w:rsidR="00000000" w:rsidRPr="00E7306E" w:rsidP="00E7306E">
      <w:pPr>
        <w:pStyle w:val="ListBullet2"/>
      </w:pPr>
      <w:r w:rsidRPr="00E7306E">
        <w:t>financial statements and tax returns</w:t>
      </w:r>
    </w:p>
    <w:p w:rsidR="00000000" w:rsidRPr="00E7306E" w:rsidP="00E7306E">
      <w:pPr>
        <w:pStyle w:val="ListBullet"/>
      </w:pPr>
      <w:r w:rsidRPr="00E7306E">
        <w:t xml:space="preserve">income, expenditure and accounting treatments </w:t>
      </w:r>
    </w:p>
    <w:p w:rsidR="00000000" w:rsidRPr="00E7306E" w:rsidP="00E7306E">
      <w:pPr>
        <w:pStyle w:val="ListBullet"/>
      </w:pPr>
      <w:r w:rsidRPr="00E7306E">
        <w:t>communication methods between clients, accountants and real estate agents in relation to financial statements and business structure</w:t>
      </w:r>
    </w:p>
    <w:p w:rsidR="00000000" w:rsidRPr="00E7306E" w:rsidP="00E7306E">
      <w:pPr>
        <w:pStyle w:val="ListBullet"/>
      </w:pPr>
      <w:r w:rsidRPr="00E7306E">
        <w:t>financial data including add backs to calculate loan serviceability</w:t>
      </w:r>
    </w:p>
    <w:p w:rsidR="00000000" w:rsidRPr="00E7306E" w:rsidP="00E7306E">
      <w:pPr>
        <w:pStyle w:val="ListBullet"/>
      </w:pPr>
      <w:r w:rsidRPr="00E7306E">
        <w:t>sources of income where multiple entities or structures</w:t>
      </w:r>
      <w:r w:rsidRPr="00E7306E">
        <w:t xml:space="preserve"> are included in the client relationship</w:t>
      </w:r>
    </w:p>
    <w:p w:rsidR="00000000" w:rsidRPr="00E7306E" w:rsidP="00E7306E">
      <w:pPr>
        <w:pStyle w:val="ListBullet"/>
      </w:pPr>
      <w:r w:rsidRPr="00E7306E">
        <w:t>financial information needed for data entry into loan calculators to confirm loan serviceability</w:t>
      </w:r>
    </w:p>
    <w:p w:rsidR="00000000" w:rsidRPr="00E7306E" w:rsidP="00E7306E">
      <w:pPr>
        <w:pStyle w:val="ListBullet"/>
      </w:pPr>
      <w:r w:rsidRPr="00E7306E">
        <w:t>risk issues relating to:</w:t>
      </w:r>
    </w:p>
    <w:p w:rsidR="00000000" w:rsidRPr="00E7306E" w:rsidP="00E7306E">
      <w:pPr>
        <w:pStyle w:val="ListBullet2"/>
      </w:pPr>
      <w:r w:rsidRPr="00E7306E">
        <w:t>borrowing risk and gearing</w:t>
      </w:r>
    </w:p>
    <w:p w:rsidR="00000000" w:rsidRPr="00E7306E" w:rsidP="00E7306E">
      <w:pPr>
        <w:pStyle w:val="ListBullet2"/>
      </w:pPr>
      <w:r w:rsidRPr="00E7306E">
        <w:t>specific product risk</w:t>
      </w:r>
    </w:p>
    <w:p w:rsidR="00000000" w:rsidRPr="00E7306E" w:rsidP="00E7306E">
      <w:pPr>
        <w:pStyle w:val="ListBullet2"/>
      </w:pPr>
      <w:r w:rsidRPr="00E7306E">
        <w:t>institutional risk</w:t>
      </w:r>
    </w:p>
    <w:p w:rsidR="00000000" w:rsidRPr="00E7306E" w:rsidP="00E7306E">
      <w:pPr>
        <w:pStyle w:val="ListBullet2"/>
      </w:pPr>
      <w:r w:rsidRPr="00E7306E">
        <w:t>risk factors and return expectations of the client</w:t>
      </w:r>
    </w:p>
    <w:p w:rsidR="00000000" w:rsidRPr="00E7306E" w:rsidP="00E7306E">
      <w:pPr>
        <w:pStyle w:val="ListBullet2"/>
      </w:pPr>
      <w:r w:rsidRPr="00E7306E">
        <w:t>volatility of income and capital</w:t>
      </w:r>
    </w:p>
    <w:p w:rsidR="00000000" w:rsidRPr="00E7306E" w:rsidP="00E7306E">
      <w:pPr>
        <w:pStyle w:val="ListBullet"/>
      </w:pPr>
      <w:r w:rsidRPr="00E7306E">
        <w:t>types of security to be taken for complex loan structures:</w:t>
      </w:r>
    </w:p>
    <w:p w:rsidR="00000000" w:rsidRPr="00E7306E" w:rsidP="00E7306E">
      <w:pPr>
        <w:pStyle w:val="ListBullet2"/>
      </w:pPr>
      <w:r w:rsidRPr="00E7306E">
        <w:t>joint and several personal or related company guarantees</w:t>
      </w:r>
    </w:p>
    <w:p w:rsidR="00000000" w:rsidRPr="00E7306E" w:rsidP="00E7306E">
      <w:pPr>
        <w:pStyle w:val="ListBullet2"/>
      </w:pPr>
      <w:r w:rsidRPr="00E7306E">
        <w:t>multiple mortgages</w:t>
      </w:r>
    </w:p>
    <w:p w:rsidR="00000000" w:rsidRPr="00E7306E" w:rsidP="00E7306E">
      <w:pPr>
        <w:pStyle w:val="ListBullet2"/>
      </w:pPr>
      <w:r w:rsidRPr="00E7306E">
        <w:t>registered company charges</w:t>
      </w:r>
    </w:p>
    <w:p w:rsidR="00000000" w:rsidRPr="00E7306E" w:rsidP="00E7306E">
      <w:pPr>
        <w:pStyle w:val="ListBullet2"/>
      </w:pPr>
      <w:r w:rsidRPr="00E7306E">
        <w:t>second m</w:t>
      </w:r>
      <w:r w:rsidRPr="00E7306E">
        <w:t>ortgages</w:t>
      </w:r>
    </w:p>
    <w:p w:rsidR="00000000" w:rsidRPr="00E7306E" w:rsidP="00E7306E">
      <w:pPr>
        <w:pStyle w:val="ListBullet2"/>
      </w:pPr>
      <w:r w:rsidRPr="00E7306E">
        <w:t>the involvement of unit or family trusts as either borrowers or guarantors</w:t>
      </w:r>
    </w:p>
    <w:p w:rsidR="00000000" w:rsidRPr="00E7306E" w:rsidP="00E7306E">
      <w:pPr>
        <w:pStyle w:val="ListBullet"/>
      </w:pPr>
      <w:r w:rsidRPr="00E7306E">
        <w:t>relevant legislation including state and territory legislation, charges and taxes.</w:t>
      </w:r>
    </w:p>
    <w:p w:rsidR="00000000" w:rsidRPr="00E7306E" w:rsidP="00E7306E">
      <w:pPr>
        <w:pStyle w:val="AllowPageBreak"/>
      </w:pPr>
    </w:p>
    <w:p w:rsidR="00000000" w:rsidRPr="00E7306E" w:rsidP="00E7306E">
      <w:pPr>
        <w:pStyle w:val="Heading1"/>
      </w:pPr>
      <w:bookmarkStart w:id="4" w:name="O_1075462"/>
      <w:bookmarkEnd w:id="4"/>
      <w:r w:rsidRPr="00E7306E">
        <w:t>Assessment Conditions</w:t>
      </w:r>
    </w:p>
    <w:p w:rsidR="00000000" w:rsidRPr="00E7306E" w:rsidP="009F573A">
      <w:pPr>
        <w:pStyle w:val="BodyText"/>
      </w:pPr>
      <w:r w:rsidRPr="00E7306E">
        <w:t>Skills in this unit must be demonstrated in a w</w:t>
      </w:r>
      <w:r w:rsidRPr="00E7306E">
        <w:t xml:space="preserve">orkplace or simulated environment where the conditions are typical of those in a working environment in this industry. </w:t>
      </w:r>
    </w:p>
    <w:p w:rsidR="00000000" w:rsidRPr="00E7306E" w:rsidP="009F573A">
      <w:pPr>
        <w:pStyle w:val="BodyText"/>
      </w:pPr>
      <w:r w:rsidRPr="00E7306E">
        <w:t>This includes access to:</w:t>
      </w:r>
    </w:p>
    <w:p w:rsidR="00000000" w:rsidRPr="00E7306E" w:rsidP="00E7306E">
      <w:pPr>
        <w:pStyle w:val="ListBullet"/>
      </w:pPr>
      <w:r w:rsidRPr="00E7306E">
        <w:t xml:space="preserve">legislation, regulation, and organisational policy and procedures relevant to credit risk </w:t>
      </w:r>
    </w:p>
    <w:p w:rsidR="00000000" w:rsidRPr="00E7306E" w:rsidP="00E7306E">
      <w:pPr>
        <w:pStyle w:val="ListBullet"/>
      </w:pPr>
      <w:r w:rsidRPr="00E7306E">
        <w:t>common office equipment, technology and consumables</w:t>
      </w:r>
    </w:p>
    <w:p w:rsidR="00000000" w:rsidRPr="00E7306E" w:rsidP="00E7306E">
      <w:pPr>
        <w:pStyle w:val="ListBullet"/>
      </w:pPr>
      <w:r w:rsidRPr="00E7306E">
        <w:t>client financial profiles</w:t>
      </w:r>
    </w:p>
    <w:p w:rsidR="00000000" w:rsidRPr="00E7306E" w:rsidP="00E7306E">
      <w:pPr>
        <w:pStyle w:val="ListBullet"/>
      </w:pPr>
      <w:r w:rsidRPr="00E7306E">
        <w:t>credit product information</w:t>
      </w:r>
    </w:p>
    <w:p w:rsidR="00000000" w:rsidRPr="00E7306E" w:rsidP="00E7306E">
      <w:pPr>
        <w:pStyle w:val="ListBullet"/>
      </w:pPr>
      <w:r w:rsidRPr="00E7306E">
        <w:t>software systems and data.</w:t>
      </w:r>
    </w:p>
    <w:p w:rsidR="00000000" w:rsidRPr="00E7306E" w:rsidP="00E7306E">
      <w:pPr>
        <w:pStyle w:val="BodyText"/>
      </w:pPr>
    </w:p>
    <w:p w:rsidR="00000000" w:rsidRPr="00E7306E" w:rsidP="009F573A">
      <w:pPr>
        <w:pStyle w:val="BodyText"/>
      </w:pPr>
      <w:r w:rsidRPr="00E7306E">
        <w:t>Assessors of this unit must satisfy the requirements for assessors in applicable vocational education and training legislat</w:t>
      </w:r>
      <w:r w:rsidRPr="00E7306E">
        <w:t>ion, frameworks and/or standards.</w:t>
      </w:r>
    </w:p>
    <w:p w:rsidR="00000000" w:rsidRPr="00E7306E" w:rsidP="00E7306E">
      <w:pPr>
        <w:pStyle w:val="Heading1"/>
      </w:pPr>
      <w:bookmarkStart w:id="5" w:name="O_1075465"/>
      <w:bookmarkEnd w:id="5"/>
      <w:r w:rsidRPr="00E7306E">
        <w:t>Links</w:t>
      </w:r>
    </w:p>
    <w:p w:rsidR="00000000" w:rsidRPr="00E7306E" w:rsidP="009F573A">
      <w:pPr>
        <w:pStyle w:val="BodyText"/>
      </w:pPr>
      <w:r w:rsidRPr="00E730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09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306E" w:rsidP="00E7306E"/>
    <w:sectPr w:rsidSect="00E73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6E" w:rsidRPr="009F573A" w:rsidP="009F5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3A" w:rsidP="00E73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73A" w:rsidP="00E73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73A" w:rsidP="00E73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06E" w:rsidRPr="009F573A" w:rsidP="009F5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3A" w:rsidRPr="002D2AF8" w:rsidP="00E73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FNSBNK512 Assess complex loans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F573A" w:rsidP="00E73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67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04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0CD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06E"/>
  </w:style>
  <w:style w:type="character" w:customStyle="1" w:styleId="Heading1Char">
    <w:name w:val="Heading 1 Char"/>
    <w:basedOn w:val="DefaultParagraphFont"/>
    <w:link w:val="Heading1"/>
    <w:rsid w:val="00E73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0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06E"/>
    <w:rPr>
      <w:b/>
      <w:spacing w:val="0"/>
    </w:rPr>
  </w:style>
  <w:style w:type="paragraph" w:styleId="ListBullet2">
    <w:name w:val="List Bullet 2"/>
    <w:basedOn w:val="List2"/>
    <w:rsid w:val="00E730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0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06E"/>
    <w:rPr>
      <w:i/>
    </w:rPr>
  </w:style>
  <w:style w:type="paragraph" w:styleId="Caption">
    <w:name w:val="caption"/>
    <w:basedOn w:val="BodyText"/>
    <w:next w:val="Normal"/>
    <w:qFormat/>
    <w:rsid w:val="00E73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06E"/>
  </w:style>
  <w:style w:type="paragraph" w:styleId="TableofFigures">
    <w:name w:val="table of figures"/>
    <w:basedOn w:val="Normal"/>
    <w:next w:val="Normal"/>
    <w:semiHidden/>
    <w:rsid w:val="00E73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0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06E"/>
    <w:rPr>
      <w:rFonts w:ascii="Wingdings" w:hAnsi="Wingdings"/>
    </w:rPr>
  </w:style>
  <w:style w:type="paragraph" w:customStyle="1" w:styleId="TableHeading">
    <w:name w:val="Table Heading"/>
    <w:basedOn w:val="HeadingBase"/>
    <w:rsid w:val="00E73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06E"/>
    <w:rPr>
      <w:color w:val="0033CC"/>
      <w:u w:val="none"/>
    </w:rPr>
  </w:style>
  <w:style w:type="paragraph" w:customStyle="1" w:styleId="BodyTextRight">
    <w:name w:val="Body Text Right"/>
    <w:basedOn w:val="BodyText"/>
    <w:rsid w:val="00E73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0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06E"/>
    <w:rPr>
      <w:sz w:val="32"/>
    </w:rPr>
  </w:style>
  <w:style w:type="paragraph" w:customStyle="1" w:styleId="HeadingProcedure">
    <w:name w:val="Heading Procedure"/>
    <w:basedOn w:val="HeadingBase"/>
    <w:next w:val="Normal"/>
    <w:rsid w:val="00E73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06E"/>
    <w:pPr>
      <w:spacing w:before="60" w:after="60"/>
    </w:pPr>
  </w:style>
  <w:style w:type="paragraph" w:styleId="ListContinue">
    <w:name w:val="List Continue"/>
    <w:basedOn w:val="List"/>
    <w:rsid w:val="00E7306E"/>
    <w:pPr>
      <w:ind w:firstLine="0"/>
    </w:pPr>
  </w:style>
  <w:style w:type="paragraph" w:customStyle="1" w:styleId="ListNote">
    <w:name w:val="List Note"/>
    <w:basedOn w:val="List"/>
    <w:rsid w:val="00E73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06E"/>
    <w:rPr>
      <w:rFonts w:ascii="Courier New" w:hAnsi="Courier New"/>
    </w:rPr>
  </w:style>
  <w:style w:type="paragraph" w:customStyle="1" w:styleId="NoteBullet">
    <w:name w:val="Note Bullet"/>
    <w:basedOn w:val="Note"/>
    <w:rsid w:val="00E73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0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06E"/>
    <w:rPr>
      <w:b/>
      <w:smallCaps/>
    </w:rPr>
  </w:style>
  <w:style w:type="paragraph" w:customStyle="1" w:styleId="TableListNumber">
    <w:name w:val="Table List Number"/>
    <w:basedOn w:val="ListNumber"/>
    <w:rsid w:val="00E73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06E"/>
    <w:pPr>
      <w:numPr>
        <w:numId w:val="9"/>
      </w:numPr>
    </w:pPr>
  </w:style>
  <w:style w:type="paragraph" w:customStyle="1" w:styleId="ListAlpha2">
    <w:name w:val="List Alpha 2"/>
    <w:basedOn w:val="List2"/>
    <w:rsid w:val="00E7306E"/>
    <w:pPr>
      <w:numPr>
        <w:numId w:val="8"/>
      </w:numPr>
    </w:pPr>
  </w:style>
  <w:style w:type="paragraph" w:styleId="List2">
    <w:name w:val="List 2"/>
    <w:basedOn w:val="BodyText"/>
    <w:rsid w:val="00E73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0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0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06E"/>
    <w:pPr>
      <w:numPr>
        <w:numId w:val="4"/>
      </w:numPr>
    </w:pPr>
  </w:style>
  <w:style w:type="paragraph" w:styleId="ListContinue2">
    <w:name w:val="List Continue 2"/>
    <w:basedOn w:val="List2"/>
    <w:rsid w:val="00E7306E"/>
    <w:pPr>
      <w:ind w:firstLine="0"/>
    </w:pPr>
  </w:style>
  <w:style w:type="paragraph" w:styleId="ListContinue3">
    <w:name w:val="List Continue 3"/>
    <w:basedOn w:val="List3"/>
    <w:rsid w:val="00E7306E"/>
    <w:pPr>
      <w:ind w:left="1021" w:firstLine="0"/>
    </w:pPr>
  </w:style>
  <w:style w:type="paragraph" w:styleId="ListContinue4">
    <w:name w:val="List Continue 4"/>
    <w:basedOn w:val="List4"/>
    <w:rsid w:val="00E7306E"/>
    <w:pPr>
      <w:ind w:firstLine="0"/>
    </w:pPr>
  </w:style>
  <w:style w:type="paragraph" w:styleId="ListContinue5">
    <w:name w:val="List Continue 5"/>
    <w:basedOn w:val="List5"/>
    <w:rsid w:val="00E7306E"/>
    <w:pPr>
      <w:ind w:firstLine="0"/>
    </w:pPr>
  </w:style>
  <w:style w:type="paragraph" w:styleId="ListNumber3">
    <w:name w:val="List Number 3"/>
    <w:basedOn w:val="List3"/>
    <w:rsid w:val="00E7306E"/>
    <w:pPr>
      <w:numPr>
        <w:numId w:val="5"/>
      </w:numPr>
    </w:pPr>
  </w:style>
  <w:style w:type="paragraph" w:styleId="ListNumber4">
    <w:name w:val="List Number 4"/>
    <w:basedOn w:val="List4"/>
    <w:rsid w:val="00E7306E"/>
    <w:pPr>
      <w:numPr>
        <w:numId w:val="6"/>
      </w:numPr>
    </w:pPr>
  </w:style>
  <w:style w:type="paragraph" w:styleId="ListNumber5">
    <w:name w:val="List Number 5"/>
    <w:basedOn w:val="List5"/>
    <w:rsid w:val="00E7306E"/>
    <w:pPr>
      <w:numPr>
        <w:numId w:val="7"/>
      </w:numPr>
    </w:pPr>
  </w:style>
  <w:style w:type="paragraph" w:styleId="BlockText">
    <w:name w:val="Block Text"/>
    <w:basedOn w:val="Normal"/>
    <w:rsid w:val="00E73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06E"/>
    <w:rPr>
      <w:sz w:val="16"/>
      <w:vertAlign w:val="superscript"/>
    </w:rPr>
  </w:style>
  <w:style w:type="character" w:customStyle="1" w:styleId="Symbols">
    <w:name w:val="Symbols"/>
    <w:basedOn w:val="DefaultParagraphFont"/>
    <w:rsid w:val="00E7306E"/>
    <w:rPr>
      <w:rFonts w:ascii="Symbol" w:hAnsi="Symbol"/>
    </w:rPr>
  </w:style>
  <w:style w:type="character" w:customStyle="1" w:styleId="MenuOptions">
    <w:name w:val="Menu Options"/>
    <w:basedOn w:val="DefaultParagraphFont"/>
    <w:rsid w:val="00E73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06E"/>
    <w:rPr>
      <w:b/>
    </w:rPr>
  </w:style>
  <w:style w:type="character" w:customStyle="1" w:styleId="Underlined">
    <w:name w:val="Underlined"/>
    <w:basedOn w:val="DefaultParagraphFont"/>
    <w:rsid w:val="00E7306E"/>
    <w:rPr>
      <w:u w:val="single"/>
    </w:rPr>
  </w:style>
  <w:style w:type="paragraph" w:customStyle="1" w:styleId="TableBodyTextRight">
    <w:name w:val="Table Body Text Right"/>
    <w:basedOn w:val="TableBodyText"/>
    <w:rsid w:val="00E73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06E"/>
    <w:rPr>
      <w:sz w:val="18"/>
    </w:rPr>
  </w:style>
  <w:style w:type="paragraph" w:customStyle="1" w:styleId="BodySmallRight">
    <w:name w:val="Body Small Right"/>
    <w:basedOn w:val="BodyTextRight"/>
    <w:rsid w:val="00E7306E"/>
    <w:rPr>
      <w:sz w:val="18"/>
      <w:szCs w:val="18"/>
    </w:rPr>
  </w:style>
  <w:style w:type="paragraph" w:customStyle="1" w:styleId="MarginEdition">
    <w:name w:val="Margin Edition"/>
    <w:basedOn w:val="MarginNote"/>
    <w:rsid w:val="00E73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06E"/>
    <w:rPr>
      <w:sz w:val="2"/>
      <w:szCs w:val="2"/>
    </w:rPr>
  </w:style>
  <w:style w:type="character" w:customStyle="1" w:styleId="Small">
    <w:name w:val="Small"/>
    <w:basedOn w:val="DefaultParagraphFont"/>
    <w:rsid w:val="00E7306E"/>
    <w:rPr>
      <w:sz w:val="16"/>
    </w:rPr>
  </w:style>
  <w:style w:type="paragraph" w:customStyle="1" w:styleId="WideTable">
    <w:name w:val="Wide Table"/>
    <w:basedOn w:val="Normal"/>
    <w:rsid w:val="00E73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06E"/>
  </w:style>
  <w:style w:type="paragraph" w:styleId="Quote">
    <w:name w:val="Quote"/>
    <w:basedOn w:val="Heading1"/>
    <w:link w:val="QuoteChar"/>
    <w:qFormat/>
    <w:rsid w:val="00E73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06E"/>
    <w:pPr>
      <w:pageBreakBefore/>
    </w:pPr>
  </w:style>
  <w:style w:type="paragraph" w:customStyle="1" w:styleId="Border">
    <w:name w:val="Border"/>
    <w:basedOn w:val="Normal"/>
    <w:qFormat/>
    <w:rsid w:val="00E73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06E"/>
    <w:rPr>
      <w:u w:val="single"/>
    </w:rPr>
  </w:style>
  <w:style w:type="character" w:customStyle="1" w:styleId="BoldandItalics">
    <w:name w:val="Bold and Italics"/>
    <w:qFormat/>
    <w:rsid w:val="00E7306E"/>
    <w:rPr>
      <w:b/>
      <w:i/>
      <w:u w:val="none"/>
    </w:rPr>
  </w:style>
  <w:style w:type="paragraph" w:styleId="BalloonText">
    <w:name w:val="Balloon Text"/>
    <w:basedOn w:val="Normal"/>
    <w:link w:val="BalloonTextChar"/>
    <w:rsid w:val="00E73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06E"/>
    <w:pPr>
      <w:spacing w:before="0" w:after="0"/>
    </w:pPr>
  </w:style>
  <w:style w:type="paragraph" w:customStyle="1" w:styleId="BodyTextBold">
    <w:name w:val="Body Text Bold"/>
    <w:basedOn w:val="BodyText"/>
    <w:qFormat/>
    <w:rsid w:val="00E7306E"/>
    <w:rPr>
      <w:b/>
    </w:rPr>
  </w:style>
  <w:style w:type="character" w:styleId="Hyperlink">
    <w:name w:val="Hyperlink"/>
    <w:basedOn w:val="DefaultParagraphFont"/>
    <w:uiPriority w:val="99"/>
    <w:unhideWhenUsed/>
    <w:rsid w:val="009F5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2937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FNSBNK512 Assess complex loans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