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661" w:rsidP="00214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FNSBKG405 Establish and maintain a payroll system</w:t>
      </w:r>
      <w:r>
        <w:fldChar w:fldCharType="end"/>
      </w:r>
    </w:p>
    <w:p w:rsidR="00214661" w:rsidP="00214661">
      <w:pPr>
        <w:pStyle w:val="Version"/>
        <w:sectPr w:rsidSect="00B2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3E5B" w:rsidP="00B23E5B">
      <w:pPr>
        <w:pStyle w:val="SuperHeading"/>
      </w:pPr>
      <w:r w:rsidRPr="00B23E5B">
        <w:t>Assessment Requirements for FNSBKG405 Establish and maintain a payroll system</w:t>
      </w:r>
    </w:p>
    <w:p w:rsidR="00000000" w:rsidRPr="00B23E5B" w:rsidP="00B23E5B">
      <w:pPr>
        <w:pStyle w:val="Heading1"/>
      </w:pPr>
      <w:bookmarkStart w:id="1" w:name="O_734678"/>
      <w:bookmarkEnd w:id="1"/>
      <w:r w:rsidRPr="00B23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5B" w:rsidP="00B23E5B">
            <w:pPr>
              <w:pStyle w:val="BodyText"/>
            </w:pPr>
            <w:r w:rsidRPr="00B23E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E5B">
            <w:pPr>
              <w:pStyle w:val="BodyText"/>
              <w:rPr>
                <w:lang w:val="en-NZ"/>
              </w:rPr>
            </w:pPr>
            <w:r w:rsidRPr="00B23E5B">
              <w:rPr>
                <w:rStyle w:val="SpecialBold"/>
              </w:rPr>
              <w:t>Comments</w:t>
            </w:r>
          </w:p>
        </w:tc>
      </w:tr>
      <w:tr w:rsidTr="00B2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E5B">
            <w:pPr>
              <w:pStyle w:val="BodyText"/>
              <w:rPr>
                <w:lang w:val="en-NZ"/>
              </w:rPr>
            </w:pPr>
            <w:r w:rsidRPr="00B23E5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5B" w:rsidP="00B23E5B">
            <w:pPr>
              <w:pStyle w:val="BodyText"/>
            </w:pPr>
            <w:r w:rsidRPr="00B23E5B">
              <w:t>This version first released with FNS Financial Services Training Package Version 1.1.</w:t>
            </w:r>
          </w:p>
          <w:p w:rsidR="00000000" w:rsidP="00B23E5B">
            <w:pPr>
              <w:pStyle w:val="BodyText"/>
              <w:rPr>
                <w:lang w:val="en-NZ"/>
              </w:rPr>
            </w:pPr>
            <w:r w:rsidRPr="00B23E5B">
              <w:t>Release 2 created to correct typographical error.</w:t>
            </w:r>
          </w:p>
        </w:tc>
      </w:tr>
      <w:tr w:rsidTr="00B2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E5B">
            <w:pPr>
              <w:pStyle w:val="BodyText"/>
              <w:rPr>
                <w:lang w:val="en-NZ"/>
              </w:rPr>
            </w:pPr>
            <w:r w:rsidRPr="00B23E5B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5B" w:rsidP="00B23E5B">
            <w:pPr>
              <w:pStyle w:val="BodyText"/>
            </w:pPr>
            <w:r w:rsidRPr="00B23E5B">
              <w:t>This version first released with FNS Financial Services Training Package Version 1.</w:t>
            </w:r>
          </w:p>
        </w:tc>
      </w:tr>
    </w:tbl>
    <w:p w:rsidR="00000000" w:rsidRPr="00B23E5B" w:rsidP="00B23E5B">
      <w:pPr>
        <w:pStyle w:val="BodyText"/>
      </w:pPr>
    </w:p>
    <w:p w:rsidR="00000000" w:rsidRPr="00B23E5B" w:rsidP="00B23E5B">
      <w:pPr>
        <w:pStyle w:val="AllowPageBreak"/>
      </w:pPr>
    </w:p>
    <w:p w:rsidR="00000000" w:rsidRPr="00B23E5B" w:rsidP="00B23E5B">
      <w:pPr>
        <w:pStyle w:val="Heading1"/>
      </w:pPr>
      <w:bookmarkStart w:id="2" w:name="O_734677"/>
      <w:bookmarkEnd w:id="2"/>
      <w:r w:rsidRPr="00B23E5B">
        <w:t>Performance Evidence</w:t>
      </w:r>
    </w:p>
    <w:p w:rsidR="00000000" w:rsidRPr="00B23E5B" w:rsidP="00B23E5B">
      <w:pPr>
        <w:pStyle w:val="BodyText"/>
      </w:pPr>
      <w:r w:rsidRPr="00B23E5B">
        <w:t>Evidence of the ability to:</w:t>
      </w:r>
    </w:p>
    <w:p w:rsidR="00000000" w:rsidRPr="00B23E5B" w:rsidP="00B23E5B">
      <w:pPr>
        <w:pStyle w:val="ListBullet"/>
      </w:pPr>
      <w:r w:rsidRPr="00B23E5B">
        <w:t xml:space="preserve">accurately identify, calculate and input </w:t>
      </w:r>
      <w:r w:rsidRPr="00B23E5B">
        <w:t xml:space="preserve">data for payments into manual or computerised payroll systems </w:t>
      </w:r>
    </w:p>
    <w:p w:rsidR="00000000" w:rsidRPr="00B23E5B" w:rsidP="00B23E5B">
      <w:pPr>
        <w:pStyle w:val="ListBullet"/>
      </w:pPr>
      <w:r w:rsidRPr="00B23E5B">
        <w:t>produce payroll reports in accordance with organisational and legislative requirements</w:t>
      </w:r>
    </w:p>
    <w:p w:rsidR="00000000" w:rsidRPr="00B23E5B" w:rsidP="00B23E5B">
      <w:pPr>
        <w:pStyle w:val="ListBullet"/>
      </w:pPr>
      <w:r w:rsidRPr="00B23E5B">
        <w:t>present payroll report for verification and approval</w:t>
      </w:r>
    </w:p>
    <w:p w:rsidR="00000000" w:rsidRPr="00B23E5B" w:rsidP="00B23E5B">
      <w:pPr>
        <w:pStyle w:val="ListBullet"/>
      </w:pPr>
      <w:r w:rsidRPr="00B23E5B">
        <w:t>maintain all records in compliance with organisational and legislative requirements that relate to security and confidentiality of information.</w:t>
      </w:r>
    </w:p>
    <w:p w:rsidR="00000000" w:rsidRPr="00B23E5B" w:rsidP="00B23E5B">
      <w:pPr>
        <w:pStyle w:val="BodyText"/>
      </w:pPr>
    </w:p>
    <w:p w:rsidR="00000000" w:rsidRPr="00B23E5B" w:rsidP="00B23E5B">
      <w:pPr>
        <w:pStyle w:val="BodyText"/>
      </w:pPr>
      <w:r w:rsidRPr="00B23E5B">
        <w:t>Note: If a specific volume or frequency is not stated, then evidence must be provided at least once.</w:t>
      </w:r>
    </w:p>
    <w:p w:rsidR="00000000" w:rsidRPr="00B23E5B" w:rsidP="00B23E5B">
      <w:pPr>
        <w:pStyle w:val="AllowPageBreak"/>
      </w:pPr>
    </w:p>
    <w:p w:rsidR="00000000" w:rsidRPr="00B23E5B" w:rsidP="00B23E5B">
      <w:pPr>
        <w:pStyle w:val="Heading1"/>
      </w:pPr>
      <w:bookmarkStart w:id="3" w:name="O_734676"/>
      <w:bookmarkEnd w:id="3"/>
      <w:r w:rsidRPr="00B23E5B">
        <w:t>Knowledge Evidence</w:t>
      </w:r>
    </w:p>
    <w:p w:rsidR="00000000" w:rsidRPr="00B23E5B" w:rsidP="00B23E5B">
      <w:pPr>
        <w:pStyle w:val="BodyText"/>
      </w:pPr>
      <w:r w:rsidRPr="00B23E5B">
        <w:t>To complete the unit requirements safely and effectively, the individual must:</w:t>
      </w:r>
    </w:p>
    <w:p w:rsidR="00000000" w:rsidRPr="00B23E5B" w:rsidP="00B23E5B">
      <w:pPr>
        <w:pStyle w:val="ListBullet"/>
      </w:pPr>
      <w:r w:rsidRPr="00B23E5B">
        <w:t>explain the scope of services appropriate for a business activity statement (BAS) agent providing payroll services</w:t>
      </w:r>
    </w:p>
    <w:p w:rsidR="00000000" w:rsidRPr="00B23E5B" w:rsidP="00B23E5B">
      <w:pPr>
        <w:pStyle w:val="ListBullet"/>
      </w:pPr>
      <w:r w:rsidRPr="00B23E5B">
        <w:t>explain the application of award an</w:t>
      </w:r>
      <w:r w:rsidRPr="00B23E5B">
        <w:t>d enterprise agreements and relevant industrial instruments to payroll maintenance responsibilities</w:t>
      </w:r>
    </w:p>
    <w:p w:rsidR="00000000" w:rsidRPr="00B23E5B" w:rsidP="00B23E5B">
      <w:pPr>
        <w:pStyle w:val="ListBullet"/>
      </w:pPr>
      <w:r w:rsidRPr="00B23E5B">
        <w:t>identify and explain organisational policy and procedures that affect payroll, including the structure of authority in organisations</w:t>
      </w:r>
    </w:p>
    <w:p w:rsidR="00000000" w:rsidRPr="00B23E5B" w:rsidP="00B23E5B">
      <w:pPr>
        <w:pStyle w:val="ListBullet"/>
      </w:pPr>
      <w:r w:rsidRPr="00B23E5B">
        <w:t xml:space="preserve">explain industry codes </w:t>
      </w:r>
      <w:r w:rsidRPr="00B23E5B">
        <w:t>of practice relevant to payroll operations</w:t>
      </w:r>
    </w:p>
    <w:p w:rsidR="00000000" w:rsidRPr="00B23E5B" w:rsidP="00B23E5B">
      <w:pPr>
        <w:pStyle w:val="ListBullet"/>
      </w:pPr>
      <w:r w:rsidRPr="00B23E5B">
        <w:t xml:space="preserve">compare and contrast manual and computerised payroll systems </w:t>
      </w:r>
    </w:p>
    <w:p w:rsidR="00000000" w:rsidRPr="00B23E5B" w:rsidP="00B23E5B">
      <w:pPr>
        <w:pStyle w:val="ListBullet"/>
      </w:pPr>
      <w:r w:rsidRPr="00B23E5B">
        <w:t xml:space="preserve">identify relevant legislation and record-keeping requirements from all levels of government that affect business operation and reporting requirements, </w:t>
      </w:r>
      <w:r w:rsidRPr="00B23E5B">
        <w:t>especially in regard to:</w:t>
      </w:r>
    </w:p>
    <w:p w:rsidR="00000000" w:rsidRPr="00B23E5B" w:rsidP="00B23E5B">
      <w:pPr>
        <w:pStyle w:val="ListBullet2"/>
      </w:pPr>
      <w:r w:rsidRPr="00B23E5B">
        <w:t>Fair Work Act</w:t>
      </w:r>
    </w:p>
    <w:p w:rsidR="00000000" w:rsidRPr="00B23E5B" w:rsidP="00B23E5B">
      <w:pPr>
        <w:pStyle w:val="ListBullet2"/>
      </w:pPr>
      <w:r w:rsidRPr="00B23E5B">
        <w:t>National Employment Standards</w:t>
      </w:r>
    </w:p>
    <w:p w:rsidR="00000000" w:rsidRPr="00B23E5B" w:rsidP="00B23E5B">
      <w:pPr>
        <w:pStyle w:val="ListBullet2"/>
      </w:pPr>
      <w:r w:rsidRPr="00B23E5B">
        <w:t>Superannuation Guarantee (Administration) Act</w:t>
      </w:r>
    </w:p>
    <w:p w:rsidR="00000000" w:rsidRPr="00B23E5B" w:rsidP="00B23E5B">
      <w:pPr>
        <w:pStyle w:val="ListBullet2"/>
      </w:pPr>
      <w:r w:rsidRPr="00B23E5B">
        <w:t>corporations law</w:t>
      </w:r>
    </w:p>
    <w:p w:rsidR="00000000" w:rsidRPr="00B23E5B" w:rsidP="00B23E5B">
      <w:pPr>
        <w:pStyle w:val="ListBullet2"/>
      </w:pPr>
      <w:r w:rsidRPr="00B23E5B">
        <w:t>workers compensation and work health and safety</w:t>
      </w:r>
    </w:p>
    <w:p w:rsidR="00000000" w:rsidRPr="00B23E5B" w:rsidP="00B23E5B">
      <w:pPr>
        <w:pStyle w:val="ListBullet2"/>
      </w:pPr>
      <w:r w:rsidRPr="00B23E5B">
        <w:t>tax related to payroll activities</w:t>
      </w:r>
    </w:p>
    <w:p w:rsidR="00000000" w:rsidRPr="00B23E5B" w:rsidP="00B23E5B">
      <w:pPr>
        <w:pStyle w:val="ListBullet2"/>
      </w:pPr>
      <w:r w:rsidRPr="00B23E5B">
        <w:t>Privacy Act (confidentiality and security of records)</w:t>
      </w:r>
    </w:p>
    <w:p w:rsidR="00000000" w:rsidRPr="00B23E5B" w:rsidP="00B23E5B">
      <w:pPr>
        <w:pStyle w:val="ListBullet2"/>
      </w:pPr>
      <w:r w:rsidRPr="00B23E5B">
        <w:t>Higher Education Loan Program (HELP)</w:t>
      </w:r>
    </w:p>
    <w:p w:rsidR="00000000" w:rsidRPr="00B23E5B" w:rsidP="00B23E5B">
      <w:pPr>
        <w:pStyle w:val="ListBullet2"/>
      </w:pPr>
      <w:r w:rsidRPr="00B23E5B">
        <w:t>Medicare levy</w:t>
      </w:r>
    </w:p>
    <w:p w:rsidR="00000000" w:rsidRPr="00B23E5B" w:rsidP="00B23E5B">
      <w:pPr>
        <w:pStyle w:val="ListBullet2"/>
      </w:pPr>
      <w:r w:rsidRPr="00B23E5B">
        <w:t>Tax Agent Services Act (TASA)</w:t>
      </w:r>
    </w:p>
    <w:p w:rsidR="00000000" w:rsidRPr="00B23E5B" w:rsidP="00B23E5B">
      <w:pPr>
        <w:pStyle w:val="ListBullet2"/>
      </w:pPr>
      <w:r w:rsidRPr="00B23E5B">
        <w:t>current state, territory and Commonwealth industry and modern awards, and enterprise bargaining agreements</w:t>
      </w:r>
    </w:p>
    <w:p w:rsidR="00000000" w:rsidRPr="00B23E5B" w:rsidP="00B23E5B">
      <w:pPr>
        <w:pStyle w:val="ListBullet2"/>
      </w:pPr>
      <w:r w:rsidRPr="00B23E5B">
        <w:t>individual emp</w:t>
      </w:r>
      <w:r w:rsidRPr="00B23E5B">
        <w:t>loyment contracts</w:t>
      </w:r>
    </w:p>
    <w:p w:rsidR="00000000" w:rsidRPr="00B23E5B" w:rsidP="00B23E5B">
      <w:pPr>
        <w:pStyle w:val="ListBullet2"/>
      </w:pPr>
      <w:r w:rsidRPr="00B23E5B">
        <w:t>Commonwealth, state and territory leave Acts including annual, sick and long service</w:t>
      </w:r>
    </w:p>
    <w:p w:rsidR="00000000" w:rsidRPr="00B23E5B" w:rsidP="00B23E5B">
      <w:pPr>
        <w:pStyle w:val="ListBullet2"/>
      </w:pPr>
      <w:r w:rsidRPr="00B23E5B">
        <w:t xml:space="preserve">Australian Bureau of Statistics (ABS) Act </w:t>
      </w:r>
    </w:p>
    <w:p w:rsidR="00000000" w:rsidRPr="00B23E5B" w:rsidP="00B23E5B">
      <w:pPr>
        <w:pStyle w:val="ListBullet"/>
      </w:pPr>
      <w:r w:rsidRPr="00B23E5B">
        <w:t>describe current Australian Tax Office (ATO) requirements such as:</w:t>
      </w:r>
    </w:p>
    <w:p w:rsidR="00000000" w:rsidRPr="00B23E5B" w:rsidP="00B23E5B">
      <w:pPr>
        <w:pStyle w:val="ListBullet2"/>
      </w:pPr>
      <w:r w:rsidRPr="00B23E5B">
        <w:t>Australian Business Number (ABN)</w:t>
      </w:r>
    </w:p>
    <w:p w:rsidR="00000000" w:rsidRPr="00B23E5B" w:rsidP="00B23E5B">
      <w:pPr>
        <w:pStyle w:val="ListBullet2"/>
      </w:pPr>
      <w:r w:rsidRPr="00B23E5B">
        <w:t>employment declaration</w:t>
      </w:r>
    </w:p>
    <w:p w:rsidR="00000000" w:rsidRPr="00B23E5B" w:rsidP="00B23E5B">
      <w:pPr>
        <w:pStyle w:val="ListBullet2"/>
      </w:pPr>
      <w:r w:rsidRPr="00B23E5B">
        <w:t>tax file number (TFN) declaration</w:t>
      </w:r>
    </w:p>
    <w:p w:rsidR="00000000" w:rsidRPr="00B23E5B" w:rsidP="00B23E5B">
      <w:pPr>
        <w:pStyle w:val="ListBullet"/>
      </w:pPr>
      <w:r w:rsidRPr="00B23E5B">
        <w:t>identify the Tax Practitioners Board (TPB) requirements, including:</w:t>
      </w:r>
    </w:p>
    <w:p w:rsidR="00000000" w:rsidRPr="00B23E5B" w:rsidP="00B23E5B">
      <w:pPr>
        <w:pStyle w:val="ListBullet2"/>
      </w:pPr>
      <w:r w:rsidRPr="00B23E5B">
        <w:t>registration and scope of services documentation requirements for BAS agents</w:t>
      </w:r>
    </w:p>
    <w:p w:rsidR="00000000" w:rsidRPr="00B23E5B" w:rsidP="00B23E5B">
      <w:pPr>
        <w:pStyle w:val="ListBullet2"/>
      </w:pPr>
      <w:r w:rsidRPr="00B23E5B">
        <w:t>Code of Professional Conduct</w:t>
      </w:r>
    </w:p>
    <w:p w:rsidR="00000000" w:rsidRPr="00B23E5B" w:rsidP="00B23E5B">
      <w:pPr>
        <w:pStyle w:val="ListBullet"/>
      </w:pPr>
      <w:r w:rsidRPr="00B23E5B">
        <w:t>explain relevant taxat</w:t>
      </w:r>
      <w:r w:rsidRPr="00B23E5B">
        <w:t>ion law, including:</w:t>
      </w:r>
    </w:p>
    <w:p w:rsidR="00000000" w:rsidRPr="00B23E5B" w:rsidP="00B23E5B">
      <w:pPr>
        <w:pStyle w:val="ListBullet2"/>
      </w:pPr>
      <w:r w:rsidRPr="00B23E5B">
        <w:t xml:space="preserve">pay as you go (PAYG) withholding tax </w:t>
      </w:r>
    </w:p>
    <w:p w:rsidR="00000000" w:rsidRPr="00B23E5B" w:rsidP="00B23E5B">
      <w:pPr>
        <w:pStyle w:val="ListBullet2"/>
      </w:pPr>
      <w:r w:rsidRPr="00B23E5B">
        <w:t>fringe benefits tax (FBT)</w:t>
      </w:r>
    </w:p>
    <w:p w:rsidR="00000000" w:rsidRPr="00B23E5B" w:rsidP="00B23E5B">
      <w:pPr>
        <w:pStyle w:val="ListBullet"/>
      </w:pPr>
      <w:r w:rsidRPr="00B23E5B">
        <w:t>outline the key aspects of routine and non-routine requirements for payroll, including:</w:t>
      </w:r>
    </w:p>
    <w:p w:rsidR="00000000" w:rsidRPr="00B23E5B" w:rsidP="00B23E5B">
      <w:pPr>
        <w:pStyle w:val="ListBullet2"/>
      </w:pPr>
      <w:r w:rsidRPr="00B23E5B">
        <w:t>routine: award payments, salary amount, salary packaging, superannuation guarante</w:t>
      </w:r>
      <w:r w:rsidRPr="00B23E5B">
        <w:t>e and super reporting</w:t>
      </w:r>
    </w:p>
    <w:p w:rsidR="00000000" w:rsidRPr="00B23E5B" w:rsidP="00B23E5B">
      <w:pPr>
        <w:pStyle w:val="ListBullet2"/>
      </w:pPr>
      <w:r w:rsidRPr="00B23E5B">
        <w:t>non-routine: termination payments and super guarantee charge.</w:t>
      </w:r>
    </w:p>
    <w:p w:rsidR="00000000" w:rsidRPr="00B23E5B" w:rsidP="00B23E5B">
      <w:pPr>
        <w:pStyle w:val="AllowPageBreak"/>
      </w:pPr>
    </w:p>
    <w:p w:rsidR="00000000" w:rsidRPr="00B23E5B" w:rsidP="00B23E5B">
      <w:pPr>
        <w:pStyle w:val="Heading1"/>
      </w:pPr>
      <w:bookmarkStart w:id="4" w:name="O_734675"/>
      <w:bookmarkEnd w:id="4"/>
      <w:r w:rsidRPr="00B23E5B">
        <w:t>Assessment Conditions</w:t>
      </w:r>
    </w:p>
    <w:p w:rsidR="00000000" w:rsidRPr="00B23E5B" w:rsidP="00B23E5B">
      <w:pPr>
        <w:pStyle w:val="BodyText"/>
      </w:pPr>
      <w:r w:rsidRPr="00B23E5B">
        <w:t>Assessment must be conducted in a safe environment where evidence gathered demonstrates consistent performance of typical activities experienced in the bookkeeping field of work and include access to:</w:t>
      </w:r>
    </w:p>
    <w:p w:rsidR="00000000" w:rsidRPr="00B23E5B" w:rsidP="00B23E5B">
      <w:pPr>
        <w:pStyle w:val="ListBullet"/>
      </w:pPr>
      <w:r w:rsidRPr="00B23E5B">
        <w:t>common office equipment, technology, software and cons</w:t>
      </w:r>
      <w:r w:rsidRPr="00B23E5B">
        <w:t>umables</w:t>
      </w:r>
    </w:p>
    <w:p w:rsidR="00000000" w:rsidRPr="00B23E5B" w:rsidP="00B23E5B">
      <w:pPr>
        <w:pStyle w:val="ListBullet"/>
      </w:pPr>
      <w:r w:rsidRPr="00B23E5B">
        <w:t>workplace reference materials such as procedural manuals and company policy</w:t>
      </w:r>
    </w:p>
    <w:p w:rsidR="00000000" w:rsidRPr="00B23E5B" w:rsidP="00B23E5B">
      <w:pPr>
        <w:pStyle w:val="ListBullet"/>
      </w:pPr>
      <w:r w:rsidRPr="00B23E5B">
        <w:t>actual or simulated payroll data.</w:t>
      </w:r>
    </w:p>
    <w:p w:rsidR="00000000" w:rsidRPr="00B23E5B" w:rsidP="00B23E5B">
      <w:pPr>
        <w:pStyle w:val="BodyText"/>
      </w:pPr>
    </w:p>
    <w:p w:rsidR="00000000" w:rsidRPr="00B23E5B" w:rsidP="00B23E5B">
      <w:pPr>
        <w:pStyle w:val="BodyText"/>
      </w:pPr>
      <w:r w:rsidRPr="00B23E5B">
        <w:t xml:space="preserve">Assessors must satisfy NVR/AQTF assessor requirements </w:t>
      </w:r>
    </w:p>
    <w:p w:rsidR="00000000" w:rsidRPr="00B23E5B" w:rsidP="00B23E5B">
      <w:pPr>
        <w:pStyle w:val="BodyText"/>
      </w:pPr>
      <w:r w:rsidRPr="00B23E5B">
        <w:t>This unit is designed to meet the education requirements of the Tax Practitioner B</w:t>
      </w:r>
      <w:r w:rsidRPr="00B23E5B">
        <w:t>oard (TPB). Where registration with the TPB is sought, assessment must reflect the conditions described by the regulator which stipulate that a significant amount (at least 40%) must be completed under some form of independent supervision. Where recognitio</w:t>
      </w:r>
      <w:r w:rsidRPr="00B23E5B">
        <w:t xml:space="preserve">n of prior learning (RPL) is used, it must also meet the requirements of the Board’s policy on RPL. </w:t>
      </w:r>
    </w:p>
    <w:p w:rsidR="00000000" w:rsidRPr="00B23E5B" w:rsidP="00B23E5B">
      <w:pPr>
        <w:pStyle w:val="BodyText"/>
      </w:pPr>
      <w:r w:rsidRPr="00B23E5B">
        <w:t xml:space="preserve">Details of requirements can be accessed on the TPB website at </w:t>
      </w:r>
      <w:r w:rsidRPr="00B23E5B">
        <w:rPr>
          <w:rStyle w:val="Emphasis"/>
        </w:rPr>
        <w:t>&lt;http://</w:t>
      </w:r>
      <w:r w:rsidRPr="00B23E5B">
        <w:t>www.tpb.gov.au</w:t>
      </w:r>
      <w:r w:rsidRPr="00B23E5B">
        <w:rPr>
          <w:rStyle w:val="Emphasis"/>
        </w:rPr>
        <w:t xml:space="preserve">&gt;. </w:t>
      </w:r>
    </w:p>
    <w:p w:rsidR="00000000" w:rsidRPr="00B23E5B" w:rsidP="00B23E5B">
      <w:pPr>
        <w:pStyle w:val="BodyText"/>
      </w:pPr>
      <w:r w:rsidRPr="00B23E5B">
        <w:t xml:space="preserve">If undertaking this unit for BAS agent registration, the following </w:t>
      </w:r>
      <w:r w:rsidRPr="00B23E5B">
        <w:t>items in the Range of Conditions must be addressed in the assessment to meet educational requirements for registration with the TPB:</w:t>
      </w:r>
    </w:p>
    <w:p w:rsidR="00000000" w:rsidRPr="00B23E5B" w:rsidP="00B23E5B">
      <w:pPr>
        <w:pStyle w:val="ListBullet"/>
      </w:pPr>
      <w:r w:rsidRPr="00B23E5B">
        <w:t>payroll preparation</w:t>
      </w:r>
    </w:p>
    <w:p w:rsidR="00000000" w:rsidRPr="00B23E5B" w:rsidP="00B23E5B">
      <w:pPr>
        <w:pStyle w:val="ListBullet"/>
      </w:pPr>
      <w:r w:rsidRPr="00B23E5B">
        <w:t>payroll records.</w:t>
      </w:r>
    </w:p>
    <w:p w:rsidR="00000000" w:rsidRPr="00B23E5B" w:rsidP="00B23E5B">
      <w:pPr>
        <w:pStyle w:val="AllowPageBreak"/>
      </w:pPr>
    </w:p>
    <w:p w:rsidR="00000000" w:rsidRPr="00B23E5B" w:rsidP="00B23E5B">
      <w:pPr>
        <w:pStyle w:val="Heading1"/>
      </w:pPr>
      <w:bookmarkStart w:id="5" w:name="O_734688"/>
      <w:bookmarkEnd w:id="5"/>
      <w:r w:rsidRPr="00B23E5B">
        <w:t>Links</w:t>
      </w:r>
    </w:p>
    <w:p w:rsidR="00000000" w:rsidRPr="00B23E5B" w:rsidP="00B23E5B">
      <w:pPr>
        <w:pStyle w:val="BodyText"/>
      </w:pPr>
      <w:r w:rsidRPr="00B23E5B">
        <w:t>Companion volumes available from the IBSA website: http://www.</w:t>
      </w:r>
      <w:r w:rsidRPr="00B23E5B">
        <w:t>ibsa.org.au/companion_volumes - https://vetnet.education.gov.au/Pages/TrainingDocs.aspx?q=c7200cc8-0566-4f04-b76f-e89fd6f102fe</w:t>
      </w:r>
    </w:p>
    <w:p w:rsidR="00000000" w:rsidRPr="00B23E5B" w:rsidP="00B23E5B"/>
    <w:sectPr w:rsidSect="00B23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 w:rsidRPr="00214661" w:rsidP="00214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61" w:rsidP="00B2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661" w:rsidP="00B2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4661" w:rsidP="00B2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 w:rsidRPr="00214661" w:rsidP="002146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61" w:rsidRPr="002D2AF8" w:rsidP="00B2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FNSBKG405 Establish and maintain a payroll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214661" w:rsidP="00B2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8C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C2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A8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E5B"/>
  </w:style>
  <w:style w:type="character" w:customStyle="1" w:styleId="Heading1Char">
    <w:name w:val="Heading 1 Char"/>
    <w:basedOn w:val="DefaultParagraphFont"/>
    <w:link w:val="Heading1"/>
    <w:rsid w:val="00B2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E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E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E5B"/>
    <w:rPr>
      <w:b/>
      <w:spacing w:val="0"/>
    </w:rPr>
  </w:style>
  <w:style w:type="paragraph" w:styleId="ListBullet2">
    <w:name w:val="List Bullet 2"/>
    <w:basedOn w:val="List2"/>
    <w:rsid w:val="00B23E5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3E5B"/>
    <w:rPr>
      <w:i/>
    </w:rPr>
  </w:style>
  <w:style w:type="paragraph" w:customStyle="1" w:styleId="SuperHeading">
    <w:name w:val="SuperHeading"/>
    <w:basedOn w:val="Normal"/>
    <w:rsid w:val="00B2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E5B"/>
  </w:style>
  <w:style w:type="paragraph" w:styleId="TableofFigures">
    <w:name w:val="table of figures"/>
    <w:basedOn w:val="Normal"/>
    <w:next w:val="Normal"/>
    <w:semiHidden/>
    <w:rsid w:val="00B2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E5B"/>
    <w:pPr>
      <w:numPr>
        <w:numId w:val="11"/>
      </w:numPr>
    </w:pPr>
  </w:style>
  <w:style w:type="character" w:customStyle="1" w:styleId="WingdingSymbols">
    <w:name w:val="Wingding Symbols"/>
    <w:rsid w:val="00B23E5B"/>
    <w:rPr>
      <w:rFonts w:ascii="Wingdings" w:hAnsi="Wingdings"/>
    </w:rPr>
  </w:style>
  <w:style w:type="paragraph" w:customStyle="1" w:styleId="TableHeading">
    <w:name w:val="Table Heading"/>
    <w:basedOn w:val="HeadingBase"/>
    <w:rsid w:val="00B2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E5B"/>
    <w:rPr>
      <w:color w:val="0033CC"/>
      <w:u w:val="none"/>
    </w:rPr>
  </w:style>
  <w:style w:type="paragraph" w:customStyle="1" w:styleId="BodyTextRight">
    <w:name w:val="Body Text Right"/>
    <w:basedOn w:val="BodyText"/>
    <w:rsid w:val="00B2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E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E5B"/>
    <w:rPr>
      <w:sz w:val="32"/>
    </w:rPr>
  </w:style>
  <w:style w:type="paragraph" w:customStyle="1" w:styleId="HeadingProcedure">
    <w:name w:val="Heading Procedure"/>
    <w:basedOn w:val="HeadingBase"/>
    <w:next w:val="Normal"/>
    <w:rsid w:val="00B2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E5B"/>
    <w:pPr>
      <w:spacing w:before="60" w:after="60"/>
    </w:pPr>
  </w:style>
  <w:style w:type="paragraph" w:styleId="ListContinue">
    <w:name w:val="List Continue"/>
    <w:basedOn w:val="List"/>
    <w:rsid w:val="00B23E5B"/>
    <w:pPr>
      <w:ind w:firstLine="0"/>
    </w:pPr>
  </w:style>
  <w:style w:type="paragraph" w:customStyle="1" w:styleId="ListNote">
    <w:name w:val="List Note"/>
    <w:basedOn w:val="List"/>
    <w:rsid w:val="00B2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E5B"/>
    <w:rPr>
      <w:rFonts w:ascii="Courier New" w:hAnsi="Courier New"/>
    </w:rPr>
  </w:style>
  <w:style w:type="paragraph" w:customStyle="1" w:styleId="NoteBullet">
    <w:name w:val="Note Bullet"/>
    <w:basedOn w:val="Note"/>
    <w:rsid w:val="00B2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E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E5B"/>
    <w:rPr>
      <w:b/>
      <w:smallCaps/>
    </w:rPr>
  </w:style>
  <w:style w:type="paragraph" w:customStyle="1" w:styleId="TableListNumber">
    <w:name w:val="Table List Number"/>
    <w:basedOn w:val="ListNumber"/>
    <w:rsid w:val="00B2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E5B"/>
    <w:pPr>
      <w:numPr>
        <w:numId w:val="9"/>
      </w:numPr>
    </w:pPr>
  </w:style>
  <w:style w:type="paragraph" w:customStyle="1" w:styleId="ListAlpha2">
    <w:name w:val="List Alpha 2"/>
    <w:basedOn w:val="List2"/>
    <w:rsid w:val="00B23E5B"/>
    <w:pPr>
      <w:numPr>
        <w:numId w:val="8"/>
      </w:numPr>
    </w:pPr>
  </w:style>
  <w:style w:type="paragraph" w:styleId="List2">
    <w:name w:val="List 2"/>
    <w:basedOn w:val="BodyText"/>
    <w:rsid w:val="00B2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E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E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E5B"/>
    <w:pPr>
      <w:numPr>
        <w:numId w:val="4"/>
      </w:numPr>
    </w:pPr>
  </w:style>
  <w:style w:type="paragraph" w:styleId="ListContinue2">
    <w:name w:val="List Continue 2"/>
    <w:basedOn w:val="List2"/>
    <w:rsid w:val="00B23E5B"/>
    <w:pPr>
      <w:ind w:firstLine="0"/>
    </w:pPr>
  </w:style>
  <w:style w:type="paragraph" w:styleId="ListContinue3">
    <w:name w:val="List Continue 3"/>
    <w:basedOn w:val="List3"/>
    <w:rsid w:val="00B23E5B"/>
    <w:pPr>
      <w:ind w:left="1021" w:firstLine="0"/>
    </w:pPr>
  </w:style>
  <w:style w:type="paragraph" w:styleId="ListContinue4">
    <w:name w:val="List Continue 4"/>
    <w:basedOn w:val="List4"/>
    <w:rsid w:val="00B23E5B"/>
    <w:pPr>
      <w:ind w:firstLine="0"/>
    </w:pPr>
  </w:style>
  <w:style w:type="paragraph" w:styleId="ListContinue5">
    <w:name w:val="List Continue 5"/>
    <w:basedOn w:val="List5"/>
    <w:rsid w:val="00B23E5B"/>
    <w:pPr>
      <w:ind w:firstLine="0"/>
    </w:pPr>
  </w:style>
  <w:style w:type="paragraph" w:styleId="ListNumber3">
    <w:name w:val="List Number 3"/>
    <w:basedOn w:val="List3"/>
    <w:rsid w:val="00B23E5B"/>
    <w:pPr>
      <w:numPr>
        <w:numId w:val="5"/>
      </w:numPr>
    </w:pPr>
  </w:style>
  <w:style w:type="paragraph" w:styleId="ListNumber4">
    <w:name w:val="List Number 4"/>
    <w:basedOn w:val="List4"/>
    <w:rsid w:val="00B23E5B"/>
    <w:pPr>
      <w:numPr>
        <w:numId w:val="6"/>
      </w:numPr>
    </w:pPr>
  </w:style>
  <w:style w:type="paragraph" w:styleId="ListNumber5">
    <w:name w:val="List Number 5"/>
    <w:basedOn w:val="List5"/>
    <w:rsid w:val="00B23E5B"/>
    <w:pPr>
      <w:numPr>
        <w:numId w:val="7"/>
      </w:numPr>
    </w:pPr>
  </w:style>
  <w:style w:type="paragraph" w:styleId="BlockText">
    <w:name w:val="Block Text"/>
    <w:basedOn w:val="Normal"/>
    <w:rsid w:val="00B2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E5B"/>
    <w:rPr>
      <w:sz w:val="16"/>
      <w:vertAlign w:val="superscript"/>
    </w:rPr>
  </w:style>
  <w:style w:type="character" w:customStyle="1" w:styleId="Symbols">
    <w:name w:val="Symbols"/>
    <w:basedOn w:val="DefaultParagraphFont"/>
    <w:rsid w:val="00B23E5B"/>
    <w:rPr>
      <w:rFonts w:ascii="Symbol" w:hAnsi="Symbol"/>
    </w:rPr>
  </w:style>
  <w:style w:type="character" w:customStyle="1" w:styleId="MenuOptions">
    <w:name w:val="Menu Options"/>
    <w:basedOn w:val="DefaultParagraphFont"/>
    <w:rsid w:val="00B2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E5B"/>
    <w:rPr>
      <w:b/>
    </w:rPr>
  </w:style>
  <w:style w:type="character" w:customStyle="1" w:styleId="Underlined">
    <w:name w:val="Underlined"/>
    <w:basedOn w:val="DefaultParagraphFont"/>
    <w:rsid w:val="00B23E5B"/>
    <w:rPr>
      <w:u w:val="single"/>
    </w:rPr>
  </w:style>
  <w:style w:type="paragraph" w:customStyle="1" w:styleId="TableBodyTextRight">
    <w:name w:val="Table Body Text Right"/>
    <w:basedOn w:val="TableBodyText"/>
    <w:rsid w:val="00B2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E5B"/>
    <w:rPr>
      <w:sz w:val="18"/>
    </w:rPr>
  </w:style>
  <w:style w:type="paragraph" w:customStyle="1" w:styleId="BodySmallRight">
    <w:name w:val="Body Small Right"/>
    <w:basedOn w:val="BodyTextRight"/>
    <w:rsid w:val="00B23E5B"/>
    <w:rPr>
      <w:sz w:val="18"/>
      <w:szCs w:val="18"/>
    </w:rPr>
  </w:style>
  <w:style w:type="paragraph" w:customStyle="1" w:styleId="MarginEdition">
    <w:name w:val="Margin Edition"/>
    <w:basedOn w:val="MarginNote"/>
    <w:rsid w:val="00B2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E5B"/>
    <w:rPr>
      <w:sz w:val="2"/>
      <w:szCs w:val="2"/>
    </w:rPr>
  </w:style>
  <w:style w:type="character" w:customStyle="1" w:styleId="Small">
    <w:name w:val="Small"/>
    <w:basedOn w:val="DefaultParagraphFont"/>
    <w:rsid w:val="00B23E5B"/>
    <w:rPr>
      <w:sz w:val="16"/>
    </w:rPr>
  </w:style>
  <w:style w:type="paragraph" w:customStyle="1" w:styleId="WideTable">
    <w:name w:val="Wide Table"/>
    <w:basedOn w:val="Normal"/>
    <w:rsid w:val="00B2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E5B"/>
  </w:style>
  <w:style w:type="paragraph" w:styleId="Quote">
    <w:name w:val="Quote"/>
    <w:basedOn w:val="Heading1"/>
    <w:link w:val="QuoteChar"/>
    <w:qFormat/>
    <w:rsid w:val="00B2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E5B"/>
    <w:pPr>
      <w:pageBreakBefore/>
    </w:pPr>
  </w:style>
  <w:style w:type="paragraph" w:customStyle="1" w:styleId="Border">
    <w:name w:val="Border"/>
    <w:basedOn w:val="Normal"/>
    <w:qFormat/>
    <w:rsid w:val="00B2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E5B"/>
    <w:rPr>
      <w:u w:val="single"/>
    </w:rPr>
  </w:style>
  <w:style w:type="character" w:customStyle="1" w:styleId="BoldandItalics">
    <w:name w:val="Bold and Italics"/>
    <w:qFormat/>
    <w:rsid w:val="00B23E5B"/>
    <w:rPr>
      <w:b/>
      <w:i/>
      <w:u w:val="none"/>
    </w:rPr>
  </w:style>
  <w:style w:type="paragraph" w:styleId="BalloonText">
    <w:name w:val="Balloon Text"/>
    <w:basedOn w:val="Normal"/>
    <w:link w:val="BalloonTextChar"/>
    <w:rsid w:val="00B2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E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E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3906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FNSBKG405 Establish and maintain a payroll system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2016-09-12T09:21:00Z</dcterms:created>
  <dcterms:modified xsi:type="dcterms:W3CDTF">2016-09-12T09:21:00Z</dcterms:modified>
</cp:coreProperties>
</file>