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1A4B" w:rsidP="00B41A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FNSBKG403 Establish and maintain an accrual accounting system</w:t>
      </w:r>
      <w:r>
        <w:fldChar w:fldCharType="end"/>
      </w:r>
    </w:p>
    <w:p w:rsidR="00B41A4B" w:rsidP="00B41A4B">
      <w:pPr>
        <w:pStyle w:val="Version"/>
        <w:sectPr w:rsidSect="00F55C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5C78" w:rsidP="00F55C78">
      <w:pPr>
        <w:pStyle w:val="SuperHeading"/>
      </w:pPr>
      <w:r w:rsidRPr="00F55C78">
        <w:t>Assessment Requirements for FNSBKG403 Establish and maintain an accrual accounting system</w:t>
      </w:r>
    </w:p>
    <w:p w:rsidR="00000000" w:rsidRPr="00F55C78" w:rsidP="00F55C78">
      <w:pPr>
        <w:pStyle w:val="Heading1"/>
      </w:pPr>
      <w:bookmarkStart w:id="1" w:name="O_673545"/>
      <w:bookmarkEnd w:id="1"/>
      <w:r w:rsidRPr="00F55C7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55C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C78" w:rsidP="00F55C78">
            <w:pPr>
              <w:pStyle w:val="BodyText"/>
            </w:pPr>
            <w:r w:rsidRPr="00F55C7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C78">
            <w:pPr>
              <w:pStyle w:val="BodyText"/>
              <w:rPr>
                <w:lang w:val="en-NZ"/>
              </w:rPr>
            </w:pPr>
            <w:r w:rsidRPr="00F55C78">
              <w:rPr>
                <w:rStyle w:val="SpecialBold"/>
              </w:rPr>
              <w:t>Comments</w:t>
            </w:r>
          </w:p>
        </w:tc>
      </w:tr>
      <w:tr w:rsidTr="00F55C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C78">
            <w:pPr>
              <w:pStyle w:val="BodyText"/>
              <w:rPr>
                <w:lang w:val="en-NZ"/>
              </w:rPr>
            </w:pPr>
            <w:r w:rsidRPr="00F55C7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C78" w:rsidP="00F55C78">
            <w:pPr>
              <w:pStyle w:val="BodyText"/>
            </w:pPr>
            <w:r w:rsidRPr="00F55C78">
              <w:t>This version first released with FNS Financial Services Training Package Version 1.0.</w:t>
            </w:r>
          </w:p>
        </w:tc>
      </w:tr>
    </w:tbl>
    <w:p w:rsidR="00000000" w:rsidRPr="00F55C78" w:rsidP="00F55C78">
      <w:pPr>
        <w:pStyle w:val="BodyText"/>
      </w:pPr>
    </w:p>
    <w:p w:rsidR="00000000" w:rsidRPr="00F55C78" w:rsidP="00F55C78">
      <w:pPr>
        <w:pStyle w:val="AllowPageBreak"/>
      </w:pPr>
    </w:p>
    <w:p w:rsidR="00000000" w:rsidRPr="00F55C78" w:rsidP="00F55C78">
      <w:pPr>
        <w:pStyle w:val="Heading1"/>
      </w:pPr>
      <w:bookmarkStart w:id="2" w:name="O_673546"/>
      <w:bookmarkEnd w:id="2"/>
      <w:r w:rsidRPr="00F55C78">
        <w:t>Performance Evidence</w:t>
      </w:r>
    </w:p>
    <w:p w:rsidR="00000000" w:rsidRPr="00F55C78" w:rsidP="00F55C78">
      <w:pPr>
        <w:pStyle w:val="BodyText"/>
      </w:pPr>
      <w:r w:rsidRPr="00F55C78">
        <w:t>Evidence of the ability to:</w:t>
      </w:r>
    </w:p>
    <w:p w:rsidR="00000000" w:rsidRPr="00F55C78" w:rsidP="00F55C78">
      <w:pPr>
        <w:pStyle w:val="ListBullet"/>
      </w:pPr>
      <w:r w:rsidRPr="00F55C78">
        <w:t>manage manual and computerised chart of accounts, incorporating accounts receivable and accounts payable, according to organisational procedures and legislative requirements</w:t>
      </w:r>
    </w:p>
    <w:p w:rsidR="00000000" w:rsidRPr="00F55C78" w:rsidP="00F55C78">
      <w:pPr>
        <w:pStyle w:val="ListBullet"/>
      </w:pPr>
      <w:r w:rsidRPr="00F55C78">
        <w:t>review completed account</w:t>
      </w:r>
      <w:r w:rsidRPr="00F55C78">
        <w:t>s receivable and payable processes and identify bad and doubtful debts</w:t>
      </w:r>
    </w:p>
    <w:p w:rsidR="00000000" w:rsidRPr="00F55C78" w:rsidP="00F55C78">
      <w:pPr>
        <w:pStyle w:val="ListBullet"/>
      </w:pPr>
      <w:r w:rsidRPr="00F55C78">
        <w:t>plan recovery actions in accordance with legal requirements</w:t>
      </w:r>
    </w:p>
    <w:p w:rsidR="00000000" w:rsidRPr="00F55C78" w:rsidP="00F55C78">
      <w:pPr>
        <w:pStyle w:val="ListBullet"/>
      </w:pPr>
      <w:r w:rsidRPr="00F55C78">
        <w:t xml:space="preserve">deal with debtors courteously and respectfully </w:t>
      </w:r>
    </w:p>
    <w:p w:rsidR="00000000" w:rsidRPr="00F55C78" w:rsidP="00F55C78">
      <w:pPr>
        <w:pStyle w:val="ListBullet"/>
      </w:pPr>
      <w:r w:rsidRPr="00F55C78">
        <w:t>produce a trial balance.</w:t>
      </w:r>
    </w:p>
    <w:p w:rsidR="00000000" w:rsidRPr="00F55C78" w:rsidP="00F55C78">
      <w:pPr>
        <w:pStyle w:val="BodyText"/>
      </w:pPr>
    </w:p>
    <w:p w:rsidR="00000000" w:rsidRPr="00F55C78" w:rsidP="00F55C78">
      <w:pPr>
        <w:pStyle w:val="BodyText"/>
      </w:pPr>
      <w:r w:rsidRPr="00F55C78">
        <w:t>Note: If a specific volume or frequency is not stated, then evidence must be provided at least once.</w:t>
      </w:r>
    </w:p>
    <w:p w:rsidR="00000000" w:rsidRPr="00F55C78" w:rsidP="00F55C78">
      <w:pPr>
        <w:pStyle w:val="AllowPageBreak"/>
      </w:pPr>
    </w:p>
    <w:p w:rsidR="00000000" w:rsidRPr="00F55C78" w:rsidP="00F55C78">
      <w:pPr>
        <w:pStyle w:val="Heading1"/>
      </w:pPr>
      <w:bookmarkStart w:id="3" w:name="O_673547"/>
      <w:bookmarkEnd w:id="3"/>
      <w:r w:rsidRPr="00F55C78">
        <w:t>Knowledge Evidence</w:t>
      </w:r>
    </w:p>
    <w:p w:rsidR="00000000" w:rsidRPr="00F55C78" w:rsidP="00F55C78">
      <w:pPr>
        <w:pStyle w:val="BodyText"/>
      </w:pPr>
      <w:r w:rsidRPr="00F55C78">
        <w:t>To complete the unit requirements safely and effectively, the individual must:</w:t>
      </w:r>
    </w:p>
    <w:p w:rsidR="00000000" w:rsidRPr="00F55C78" w:rsidP="00F55C78">
      <w:pPr>
        <w:pStyle w:val="ListBullet"/>
      </w:pPr>
      <w:r w:rsidRPr="00F55C78">
        <w:t>explain the differences between cash an</w:t>
      </w:r>
      <w:r w:rsidRPr="00F55C78">
        <w:t>d accrual accounting</w:t>
      </w:r>
    </w:p>
    <w:p w:rsidR="00000000" w:rsidRPr="00F55C78" w:rsidP="00F55C78">
      <w:pPr>
        <w:pStyle w:val="ListBullet"/>
      </w:pPr>
      <w:r w:rsidRPr="00F55C78">
        <w:t xml:space="preserve">explain the concept of double-entry accounting </w:t>
      </w:r>
    </w:p>
    <w:p w:rsidR="00000000" w:rsidRPr="00F55C78" w:rsidP="00F55C78">
      <w:pPr>
        <w:pStyle w:val="ListBullet"/>
      </w:pPr>
      <w:r w:rsidRPr="00F55C78">
        <w:t xml:space="preserve">identify relevant legal processes and describe procedures relevant to debt recovery </w:t>
      </w:r>
    </w:p>
    <w:p w:rsidR="00000000" w:rsidRPr="00F55C78" w:rsidP="00F55C78">
      <w:pPr>
        <w:pStyle w:val="ListBullet"/>
      </w:pPr>
      <w:r w:rsidRPr="00F55C78">
        <w:t>describe the necessary preliminary steps, timing and acceptable avenues for recovering debts</w:t>
      </w:r>
    </w:p>
    <w:p w:rsidR="00000000" w:rsidRPr="00F55C78" w:rsidP="00F55C78">
      <w:pPr>
        <w:pStyle w:val="ListBullet"/>
      </w:pPr>
      <w:r w:rsidRPr="00F55C78">
        <w:t>explain o</w:t>
      </w:r>
      <w:r w:rsidRPr="00F55C78">
        <w:t>rganisational policy and procedures related to the processing of transactions and records</w:t>
      </w:r>
    </w:p>
    <w:p w:rsidR="00000000" w:rsidRPr="00F55C78" w:rsidP="00F55C78">
      <w:pPr>
        <w:pStyle w:val="ListBullet"/>
      </w:pPr>
      <w:r w:rsidRPr="00F55C78">
        <w:t xml:space="preserve">identify the key legislative requirements that relate to compliant bookkeeping practice </w:t>
      </w:r>
    </w:p>
    <w:p w:rsidR="00000000" w:rsidRPr="00F55C78" w:rsidP="00F55C78">
      <w:pPr>
        <w:pStyle w:val="ListBullet"/>
      </w:pPr>
      <w:r w:rsidRPr="00F55C78">
        <w:t>describe the key features and differences between the operation of manual and</w:t>
      </w:r>
      <w:r w:rsidRPr="00F55C78">
        <w:t xml:space="preserve"> computerised accounting systems.</w:t>
      </w:r>
    </w:p>
    <w:p w:rsidR="00000000" w:rsidRPr="00F55C78" w:rsidP="00F55C78">
      <w:pPr>
        <w:pStyle w:val="AllowPageBreak"/>
      </w:pPr>
    </w:p>
    <w:p w:rsidR="00000000" w:rsidRPr="00F55C78" w:rsidP="00F55C78">
      <w:pPr>
        <w:pStyle w:val="Heading1"/>
      </w:pPr>
      <w:bookmarkStart w:id="4" w:name="O_673548"/>
      <w:bookmarkEnd w:id="4"/>
      <w:r w:rsidRPr="00F55C78">
        <w:t>Assessment Conditions</w:t>
      </w:r>
    </w:p>
    <w:p w:rsidR="00000000" w:rsidRPr="00F55C78" w:rsidP="00F55C78">
      <w:pPr>
        <w:pStyle w:val="BodyText"/>
      </w:pPr>
      <w:r w:rsidRPr="00F55C78">
        <w:t>Assessment must be conducted in a safe environment where evidence gathered demonstrates consistent performance of typical activities experienced in the bookkeeping field of work and i</w:t>
      </w:r>
      <w:r w:rsidRPr="00F55C78">
        <w:t>nclude access to and use of:</w:t>
      </w:r>
    </w:p>
    <w:p w:rsidR="00000000" w:rsidRPr="00F55C78" w:rsidP="00F55C78">
      <w:pPr>
        <w:pStyle w:val="ListBullet"/>
      </w:pPr>
      <w:r w:rsidRPr="00F55C78">
        <w:t>common office equipment, technology, software and consumables</w:t>
      </w:r>
    </w:p>
    <w:p w:rsidR="00000000" w:rsidRPr="00F55C78" w:rsidP="00F55C78">
      <w:pPr>
        <w:pStyle w:val="ListBullet"/>
      </w:pPr>
      <w:r w:rsidRPr="00F55C78">
        <w:t>an integrated financial software system and data</w:t>
      </w:r>
    </w:p>
    <w:p w:rsidR="00000000" w:rsidRPr="00F55C78" w:rsidP="00F55C78">
      <w:pPr>
        <w:pStyle w:val="ListBullet"/>
      </w:pPr>
      <w:r w:rsidRPr="00F55C78">
        <w:t>current and relevant industry information materials.</w:t>
      </w:r>
    </w:p>
    <w:p w:rsidR="00000000" w:rsidRPr="00F55C78" w:rsidP="00F55C78">
      <w:pPr>
        <w:pStyle w:val="BodyText"/>
      </w:pPr>
    </w:p>
    <w:p w:rsidR="00000000" w:rsidRPr="00F55C78" w:rsidP="00F55C78">
      <w:pPr>
        <w:pStyle w:val="BodyText"/>
      </w:pPr>
      <w:r w:rsidRPr="00F55C78">
        <w:t>Assessors must satisfy NVR/AQTF assessor requirements.</w:t>
      </w:r>
    </w:p>
    <w:p w:rsidR="00000000" w:rsidRPr="00F55C78" w:rsidP="00F55C78">
      <w:pPr>
        <w:pStyle w:val="AllowPageBreak"/>
      </w:pPr>
    </w:p>
    <w:p w:rsidR="00000000" w:rsidRPr="00F55C78" w:rsidP="00F55C78">
      <w:pPr>
        <w:pStyle w:val="Heading1"/>
      </w:pPr>
      <w:bookmarkStart w:id="5" w:name="O_673551"/>
      <w:bookmarkEnd w:id="5"/>
      <w:r w:rsidRPr="00F55C78">
        <w:t>Links</w:t>
      </w:r>
    </w:p>
    <w:p w:rsidR="00000000" w:rsidRPr="00F55C78" w:rsidP="00F55C78">
      <w:pPr>
        <w:pStyle w:val="BodyText"/>
      </w:pPr>
      <w:r w:rsidRPr="00F55C78">
        <w:t>Companion volumes available from the IBSA website: http://www.ibsa.org.au/companion_volumes - https://vetnet.education.gov.au/Pages/TrainingDocs.aspx?q=c7200cc8-0566-4f04-b76f-e89fd6f102fe</w:t>
      </w:r>
    </w:p>
    <w:p w:rsidR="00000000" w:rsidRPr="00F55C78" w:rsidP="00F55C78"/>
    <w:sectPr w:rsidSect="00F55C7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C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C78" w:rsidRPr="00B41A4B" w:rsidP="00B41A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C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A4B" w:rsidP="00F55C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41A4B" w:rsidP="00F55C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41A4B" w:rsidP="00F55C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C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C78" w:rsidRPr="00B41A4B" w:rsidP="00B41A4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C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A4B" w:rsidRPr="002D2AF8" w:rsidP="00F55C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FNSBKG403 Establish and maintain an accrual accounting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September 2016</w:t>
    </w:r>
    <w:r>
      <w:fldChar w:fldCharType="end"/>
    </w:r>
  </w:p>
  <w:p w:rsidR="00B41A4B" w:rsidP="00F55C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E9692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ECAB1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5C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5C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5C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5C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5C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5C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5C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5C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5C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5C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5C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5C78"/>
  </w:style>
  <w:style w:type="character" w:customStyle="1" w:styleId="Heading1Char">
    <w:name w:val="Heading 1 Char"/>
    <w:basedOn w:val="DefaultParagraphFont"/>
    <w:link w:val="Heading1"/>
    <w:rsid w:val="00F55C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5C7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5C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5C7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5C78"/>
    <w:rPr>
      <w:b/>
      <w:spacing w:val="0"/>
    </w:rPr>
  </w:style>
  <w:style w:type="paragraph" w:customStyle="1" w:styleId="SuperHeading">
    <w:name w:val="SuperHeading"/>
    <w:basedOn w:val="Normal"/>
    <w:rsid w:val="00F55C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5C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5C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5C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5C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5C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5C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5C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5C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5C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5C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5C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5C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5C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5C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5C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5C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5C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5C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5C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5C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5C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5C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5C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5C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5C7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5C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5C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5C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5C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5C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5C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5C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5C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5C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5C78"/>
    <w:rPr>
      <w:i/>
    </w:rPr>
  </w:style>
  <w:style w:type="paragraph" w:styleId="Caption">
    <w:name w:val="caption"/>
    <w:basedOn w:val="BodyText"/>
    <w:next w:val="Normal"/>
    <w:qFormat/>
    <w:rsid w:val="00F55C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5C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5C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5C78"/>
  </w:style>
  <w:style w:type="paragraph" w:styleId="TableofFigures">
    <w:name w:val="table of figures"/>
    <w:basedOn w:val="Normal"/>
    <w:next w:val="Normal"/>
    <w:semiHidden/>
    <w:rsid w:val="00F55C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5C78"/>
    <w:pPr>
      <w:numPr>
        <w:numId w:val="10"/>
      </w:numPr>
    </w:pPr>
  </w:style>
  <w:style w:type="character" w:customStyle="1" w:styleId="WingdingSymbols">
    <w:name w:val="Wingding Symbols"/>
    <w:rsid w:val="00F55C78"/>
    <w:rPr>
      <w:rFonts w:ascii="Wingdings" w:hAnsi="Wingdings"/>
    </w:rPr>
  </w:style>
  <w:style w:type="paragraph" w:customStyle="1" w:styleId="TableHeading">
    <w:name w:val="Table Heading"/>
    <w:basedOn w:val="HeadingBase"/>
    <w:rsid w:val="00F55C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5C78"/>
    <w:rPr>
      <w:color w:val="0033CC"/>
      <w:u w:val="none"/>
    </w:rPr>
  </w:style>
  <w:style w:type="paragraph" w:customStyle="1" w:styleId="BodyTextRight">
    <w:name w:val="Body Text Right"/>
    <w:basedOn w:val="BodyText"/>
    <w:rsid w:val="00F55C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5C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5C7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5C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5C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5C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5C78"/>
    <w:rPr>
      <w:sz w:val="32"/>
    </w:rPr>
  </w:style>
  <w:style w:type="paragraph" w:customStyle="1" w:styleId="HeadingProcedure">
    <w:name w:val="Heading Procedure"/>
    <w:basedOn w:val="HeadingBase"/>
    <w:next w:val="Normal"/>
    <w:rsid w:val="00F55C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5C78"/>
    <w:pPr>
      <w:spacing w:before="60" w:after="60"/>
    </w:pPr>
  </w:style>
  <w:style w:type="paragraph" w:styleId="ListContinue">
    <w:name w:val="List Continue"/>
    <w:basedOn w:val="List"/>
    <w:rsid w:val="00F55C78"/>
    <w:pPr>
      <w:ind w:firstLine="0"/>
    </w:pPr>
  </w:style>
  <w:style w:type="paragraph" w:customStyle="1" w:styleId="ListNote">
    <w:name w:val="List Note"/>
    <w:basedOn w:val="List"/>
    <w:rsid w:val="00F55C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5C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5C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5C78"/>
    <w:rPr>
      <w:rFonts w:ascii="Courier New" w:hAnsi="Courier New"/>
    </w:rPr>
  </w:style>
  <w:style w:type="paragraph" w:customStyle="1" w:styleId="NoteBullet">
    <w:name w:val="Note Bullet"/>
    <w:basedOn w:val="Note"/>
    <w:rsid w:val="00F55C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5C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5C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5C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5C7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55C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5C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5C78"/>
    <w:rPr>
      <w:b/>
      <w:smallCaps/>
    </w:rPr>
  </w:style>
  <w:style w:type="paragraph" w:customStyle="1" w:styleId="TableListNumber">
    <w:name w:val="Table List Number"/>
    <w:basedOn w:val="ListNumber"/>
    <w:rsid w:val="00F55C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5C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5C78"/>
    <w:pPr>
      <w:numPr>
        <w:numId w:val="8"/>
      </w:numPr>
    </w:pPr>
  </w:style>
  <w:style w:type="paragraph" w:customStyle="1" w:styleId="ListAlpha2">
    <w:name w:val="List Alpha 2"/>
    <w:basedOn w:val="List2"/>
    <w:rsid w:val="00F55C78"/>
    <w:pPr>
      <w:numPr>
        <w:numId w:val="7"/>
      </w:numPr>
    </w:pPr>
  </w:style>
  <w:style w:type="paragraph" w:styleId="List2">
    <w:name w:val="List 2"/>
    <w:basedOn w:val="BodyText"/>
    <w:rsid w:val="00F55C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5C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5C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5C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5C7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5C7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55C78"/>
    <w:pPr>
      <w:numPr>
        <w:numId w:val="3"/>
      </w:numPr>
    </w:pPr>
  </w:style>
  <w:style w:type="paragraph" w:styleId="ListContinue2">
    <w:name w:val="List Continue 2"/>
    <w:basedOn w:val="List2"/>
    <w:rsid w:val="00F55C78"/>
    <w:pPr>
      <w:ind w:firstLine="0"/>
    </w:pPr>
  </w:style>
  <w:style w:type="paragraph" w:styleId="ListContinue3">
    <w:name w:val="List Continue 3"/>
    <w:basedOn w:val="List3"/>
    <w:rsid w:val="00F55C78"/>
    <w:pPr>
      <w:ind w:left="1021" w:firstLine="0"/>
    </w:pPr>
  </w:style>
  <w:style w:type="paragraph" w:styleId="ListContinue4">
    <w:name w:val="List Continue 4"/>
    <w:basedOn w:val="List4"/>
    <w:rsid w:val="00F55C78"/>
    <w:pPr>
      <w:ind w:firstLine="0"/>
    </w:pPr>
  </w:style>
  <w:style w:type="paragraph" w:styleId="ListContinue5">
    <w:name w:val="List Continue 5"/>
    <w:basedOn w:val="List5"/>
    <w:rsid w:val="00F55C78"/>
    <w:pPr>
      <w:ind w:firstLine="0"/>
    </w:pPr>
  </w:style>
  <w:style w:type="paragraph" w:styleId="ListNumber3">
    <w:name w:val="List Number 3"/>
    <w:basedOn w:val="List3"/>
    <w:rsid w:val="00F55C78"/>
    <w:pPr>
      <w:numPr>
        <w:numId w:val="4"/>
      </w:numPr>
    </w:pPr>
  </w:style>
  <w:style w:type="paragraph" w:styleId="ListNumber4">
    <w:name w:val="List Number 4"/>
    <w:basedOn w:val="List4"/>
    <w:rsid w:val="00F55C78"/>
    <w:pPr>
      <w:numPr>
        <w:numId w:val="5"/>
      </w:numPr>
    </w:pPr>
  </w:style>
  <w:style w:type="paragraph" w:styleId="ListNumber5">
    <w:name w:val="List Number 5"/>
    <w:basedOn w:val="List5"/>
    <w:rsid w:val="00F55C78"/>
    <w:pPr>
      <w:numPr>
        <w:numId w:val="6"/>
      </w:numPr>
    </w:pPr>
  </w:style>
  <w:style w:type="paragraph" w:styleId="BlockText">
    <w:name w:val="Block Text"/>
    <w:basedOn w:val="Normal"/>
    <w:rsid w:val="00F55C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5C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5C78"/>
    <w:rPr>
      <w:sz w:val="16"/>
      <w:vertAlign w:val="superscript"/>
    </w:rPr>
  </w:style>
  <w:style w:type="character" w:customStyle="1" w:styleId="Symbols">
    <w:name w:val="Symbols"/>
    <w:basedOn w:val="DefaultParagraphFont"/>
    <w:rsid w:val="00F55C78"/>
    <w:rPr>
      <w:rFonts w:ascii="Symbol" w:hAnsi="Symbol"/>
    </w:rPr>
  </w:style>
  <w:style w:type="character" w:customStyle="1" w:styleId="MenuOptions">
    <w:name w:val="Menu Options"/>
    <w:basedOn w:val="DefaultParagraphFont"/>
    <w:rsid w:val="00F55C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5C78"/>
    <w:rPr>
      <w:b/>
    </w:rPr>
  </w:style>
  <w:style w:type="character" w:customStyle="1" w:styleId="Underlined">
    <w:name w:val="Underlined"/>
    <w:basedOn w:val="DefaultParagraphFont"/>
    <w:rsid w:val="00F55C78"/>
    <w:rPr>
      <w:u w:val="single"/>
    </w:rPr>
  </w:style>
  <w:style w:type="paragraph" w:customStyle="1" w:styleId="TableBodyTextRight">
    <w:name w:val="Table Body Text Right"/>
    <w:basedOn w:val="TableBodyText"/>
    <w:rsid w:val="00F55C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5C78"/>
    <w:rPr>
      <w:sz w:val="18"/>
    </w:rPr>
  </w:style>
  <w:style w:type="paragraph" w:customStyle="1" w:styleId="BodySmallRight">
    <w:name w:val="Body Small Right"/>
    <w:basedOn w:val="BodyTextRight"/>
    <w:rsid w:val="00F55C78"/>
    <w:rPr>
      <w:sz w:val="18"/>
      <w:szCs w:val="18"/>
    </w:rPr>
  </w:style>
  <w:style w:type="paragraph" w:customStyle="1" w:styleId="MarginEdition">
    <w:name w:val="Margin Edition"/>
    <w:basedOn w:val="MarginNote"/>
    <w:rsid w:val="00F55C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5C78"/>
    <w:rPr>
      <w:sz w:val="2"/>
      <w:szCs w:val="2"/>
    </w:rPr>
  </w:style>
  <w:style w:type="character" w:customStyle="1" w:styleId="Small">
    <w:name w:val="Small"/>
    <w:basedOn w:val="DefaultParagraphFont"/>
    <w:rsid w:val="00F55C78"/>
    <w:rPr>
      <w:sz w:val="16"/>
    </w:rPr>
  </w:style>
  <w:style w:type="paragraph" w:customStyle="1" w:styleId="WideTable">
    <w:name w:val="Wide Table"/>
    <w:basedOn w:val="Normal"/>
    <w:rsid w:val="00F55C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5C78"/>
  </w:style>
  <w:style w:type="paragraph" w:styleId="Quote">
    <w:name w:val="Quote"/>
    <w:basedOn w:val="Heading1"/>
    <w:link w:val="QuoteChar"/>
    <w:qFormat/>
    <w:rsid w:val="00F55C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5C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5C78"/>
    <w:pPr>
      <w:pageBreakBefore/>
    </w:pPr>
  </w:style>
  <w:style w:type="paragraph" w:customStyle="1" w:styleId="Border">
    <w:name w:val="Border"/>
    <w:basedOn w:val="Normal"/>
    <w:qFormat/>
    <w:rsid w:val="00F55C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5C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5C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5C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5C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5C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5C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5C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5C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5C78"/>
    <w:rPr>
      <w:u w:val="single"/>
    </w:rPr>
  </w:style>
  <w:style w:type="character" w:customStyle="1" w:styleId="BoldandItalics">
    <w:name w:val="Bold and Italics"/>
    <w:qFormat/>
    <w:rsid w:val="00F55C78"/>
    <w:rPr>
      <w:b/>
      <w:i/>
      <w:u w:val="none"/>
    </w:rPr>
  </w:style>
  <w:style w:type="paragraph" w:styleId="BalloonText">
    <w:name w:val="Balloon Text"/>
    <w:basedOn w:val="Normal"/>
    <w:link w:val="BalloonTextChar"/>
    <w:rsid w:val="00F55C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5C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5C7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5C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5C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5C7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277</Words>
  <Characters>1942</Characters>
  <Application>Microsoft Office Word</Application>
  <DocSecurity>0</DocSecurity>
  <Lines>56</Lines>
  <Paragraphs>33</Paragraphs>
  <ScaleCrop>false</ScaleCrop>
  <Company>Author-it Software Corporation Ltd.</Company>
  <LinksUpToDate>false</LinksUpToDate>
  <CharactersWithSpaces>2204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FNSBKG403 Establish and maintain an accrual accounting system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2016-09-12T09:20:00Z</dcterms:created>
  <dcterms:modified xsi:type="dcterms:W3CDTF">2016-09-12T09:20:00Z</dcterms:modified>
</cp:coreProperties>
</file>