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4EF" w:rsidP="00C83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FNSASICY503 Provide advice in insurance broking</w:t>
      </w:r>
      <w:r>
        <w:fldChar w:fldCharType="end"/>
      </w:r>
    </w:p>
    <w:p w:rsidR="00C834EF" w:rsidP="00C834EF">
      <w:pPr>
        <w:pStyle w:val="Version"/>
        <w:sectPr w:rsidSect="006E0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020F" w:rsidP="006E020F">
      <w:pPr>
        <w:pStyle w:val="SuperHeading"/>
      </w:pPr>
      <w:r w:rsidRPr="006E020F">
        <w:t>Assessment Requirements for FNSASICY503 Provide advice in insurance broking</w:t>
      </w:r>
    </w:p>
    <w:p w:rsidR="00000000" w:rsidRPr="006E020F" w:rsidP="006E020F">
      <w:pPr>
        <w:pStyle w:val="Heading1"/>
      </w:pPr>
      <w:bookmarkStart w:id="1" w:name="O_734732"/>
      <w:bookmarkEnd w:id="1"/>
      <w:r w:rsidRPr="006E0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0F" w:rsidP="006E020F">
            <w:pPr>
              <w:pStyle w:val="BodyText"/>
            </w:pPr>
            <w:r w:rsidRPr="006E02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0F">
            <w:pPr>
              <w:pStyle w:val="BodyText"/>
              <w:rPr>
                <w:lang w:val="en-NZ"/>
              </w:rPr>
            </w:pPr>
            <w:r w:rsidRPr="006E020F">
              <w:rPr>
                <w:rStyle w:val="SpecialBold"/>
              </w:rPr>
              <w:t>Comments</w:t>
            </w:r>
          </w:p>
        </w:tc>
      </w:tr>
      <w:tr w:rsidTr="006E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0F">
            <w:pPr>
              <w:pStyle w:val="BodyText"/>
              <w:rPr>
                <w:lang w:val="en-NZ"/>
              </w:rPr>
            </w:pPr>
            <w:r w:rsidRPr="006E020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0F" w:rsidP="006E020F">
            <w:pPr>
              <w:pStyle w:val="BodyText"/>
            </w:pPr>
            <w:r w:rsidRPr="006E020F">
              <w:t>This version first released with FNS Financial Services Training Package Version 1.1.</w:t>
            </w:r>
          </w:p>
          <w:p w:rsidR="00000000" w:rsidRPr="006E020F" w:rsidP="006E020F">
            <w:pPr>
              <w:pStyle w:val="BodyText"/>
            </w:pPr>
            <w:r w:rsidRPr="006E020F">
              <w:t>Release 2 created to correct mapping information.</w:t>
            </w:r>
          </w:p>
          <w:p w:rsidR="00000000" w:rsidP="006E020F">
            <w:pPr>
              <w:pStyle w:val="BodyText"/>
              <w:rPr>
                <w:lang w:val="en-NZ"/>
              </w:rPr>
            </w:pPr>
          </w:p>
        </w:tc>
      </w:tr>
      <w:tr w:rsidTr="006E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0F">
            <w:pPr>
              <w:pStyle w:val="BodyText"/>
              <w:rPr>
                <w:lang w:val="en-NZ"/>
              </w:rPr>
            </w:pPr>
            <w:r w:rsidRPr="006E02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0F" w:rsidP="006E020F">
            <w:pPr>
              <w:pStyle w:val="BodyText"/>
            </w:pPr>
            <w:r w:rsidRPr="006E020F">
              <w:t>This version first released with FNS Financial Services Training Package Version 1</w:t>
            </w:r>
          </w:p>
        </w:tc>
      </w:tr>
    </w:tbl>
    <w:p w:rsidR="00000000" w:rsidRPr="006E020F" w:rsidP="006E020F">
      <w:pPr>
        <w:pStyle w:val="BodyText"/>
      </w:pPr>
    </w:p>
    <w:p w:rsidR="00000000" w:rsidRPr="006E020F" w:rsidP="006E020F">
      <w:pPr>
        <w:pStyle w:val="AllowPageBreak"/>
      </w:pPr>
    </w:p>
    <w:p w:rsidR="00000000" w:rsidRPr="006E020F" w:rsidP="006E020F">
      <w:pPr>
        <w:pStyle w:val="Heading1"/>
      </w:pPr>
      <w:bookmarkStart w:id="2" w:name="O_734731"/>
      <w:bookmarkEnd w:id="2"/>
      <w:r w:rsidRPr="006E020F">
        <w:t>Performance Evidence</w:t>
      </w:r>
    </w:p>
    <w:p w:rsidR="00000000" w:rsidRPr="006E020F" w:rsidP="00C834EF">
      <w:pPr>
        <w:pStyle w:val="BodyText"/>
      </w:pPr>
      <w:r w:rsidRPr="006E020F">
        <w:t>Evidence of the ability to:</w:t>
      </w:r>
    </w:p>
    <w:p w:rsidR="00000000" w:rsidRPr="006E020F" w:rsidP="006E020F">
      <w:pPr>
        <w:pStyle w:val="ListBullet"/>
      </w:pPr>
      <w:r w:rsidRPr="006E020F">
        <w:t>interpret and comply with industry regulat</w:t>
      </w:r>
      <w:r w:rsidRPr="006E020F">
        <w:t>ions and codes of practice</w:t>
      </w:r>
    </w:p>
    <w:p w:rsidR="00000000" w:rsidRPr="006E020F" w:rsidP="006E020F">
      <w:pPr>
        <w:pStyle w:val="ListBullet"/>
      </w:pPr>
      <w:r w:rsidRPr="006E020F">
        <w:t>analyse client’s needs, financial situation and risk profile, and prepare appropriate strategies or solutions relating to insurance broking</w:t>
      </w:r>
    </w:p>
    <w:p w:rsidR="00000000" w:rsidRPr="006E020F" w:rsidP="006E020F">
      <w:pPr>
        <w:pStyle w:val="ListBullet"/>
      </w:pPr>
      <w:r w:rsidRPr="006E020F">
        <w:t>provide accurate and ethical advice on insurance broking products and services</w:t>
      </w:r>
    </w:p>
    <w:p w:rsidR="00000000" w:rsidRPr="006E020F" w:rsidP="006E020F">
      <w:pPr>
        <w:pStyle w:val="ListBullet"/>
      </w:pPr>
      <w:r w:rsidRPr="006E020F">
        <w:t>implement the plan, policy or transaction once agreed by the client and complete documentation accurately.</w:t>
      </w:r>
    </w:p>
    <w:p w:rsidR="00000000" w:rsidRPr="006E020F" w:rsidP="006E020F">
      <w:pPr>
        <w:pStyle w:val="BodyText"/>
      </w:pPr>
    </w:p>
    <w:p w:rsidR="00000000" w:rsidRPr="006E020F" w:rsidP="00C834EF">
      <w:pPr>
        <w:pStyle w:val="BodyText"/>
      </w:pPr>
      <w:r w:rsidRPr="006E020F">
        <w:t>Note: If a specific volume or frequency is not stated, then evidence must be provided at least once.</w:t>
      </w:r>
    </w:p>
    <w:p w:rsidR="00000000" w:rsidRPr="006E020F" w:rsidP="006E020F">
      <w:pPr>
        <w:pStyle w:val="Heading1"/>
      </w:pPr>
      <w:bookmarkStart w:id="3" w:name="O_734730"/>
      <w:bookmarkEnd w:id="3"/>
      <w:r w:rsidRPr="006E020F">
        <w:t>Knowledge Evidence</w:t>
      </w:r>
    </w:p>
    <w:p w:rsidR="00000000" w:rsidRPr="006E020F" w:rsidP="00C834EF">
      <w:pPr>
        <w:pStyle w:val="BodyText"/>
      </w:pPr>
      <w:r w:rsidRPr="006E020F">
        <w:t>To complete</w:t>
      </w:r>
      <w:r w:rsidRPr="006E020F">
        <w:t xml:space="preserve"> the unit requirements safely and effectively, the individual must satisfy generic, core and specialist knowledge requirements relevant to the products and activities in which advice is given.</w:t>
      </w:r>
    </w:p>
    <w:p w:rsidR="00000000" w:rsidRPr="006E020F" w:rsidP="00C834EF">
      <w:pPr>
        <w:pStyle w:val="Heading3"/>
      </w:pPr>
      <w:r w:rsidRPr="006E020F">
        <w:rPr>
          <w:rStyle w:val="SpecialBold"/>
        </w:rPr>
        <w:t xml:space="preserve">Generic knowledge </w:t>
      </w:r>
    </w:p>
    <w:p w:rsidR="00000000" w:rsidRPr="006E020F" w:rsidP="006E020F">
      <w:pPr>
        <w:pStyle w:val="ListBullet"/>
      </w:pPr>
      <w:r w:rsidRPr="006E020F">
        <w:t>analyse and provide an overview of the eco</w:t>
      </w:r>
      <w:r w:rsidRPr="006E020F">
        <w:t>nomic environment including:</w:t>
      </w:r>
    </w:p>
    <w:p w:rsidR="00000000" w:rsidRPr="006E020F" w:rsidP="006E020F">
      <w:pPr>
        <w:pStyle w:val="ListBullet2"/>
      </w:pPr>
      <w:r w:rsidRPr="006E020F">
        <w:t>characteristics and impact of economic and business cycles</w:t>
      </w:r>
    </w:p>
    <w:p w:rsidR="00000000" w:rsidRPr="006E020F" w:rsidP="006E020F">
      <w:pPr>
        <w:pStyle w:val="ListBullet2"/>
      </w:pPr>
      <w:r w:rsidRPr="006E020F">
        <w:t>interest rates and exchange rates</w:t>
      </w:r>
    </w:p>
    <w:p w:rsidR="00000000" w:rsidRPr="006E020F" w:rsidP="006E020F">
      <w:pPr>
        <w:pStyle w:val="ListBullet2"/>
      </w:pPr>
      <w:r w:rsidRPr="006E020F">
        <w:t>inflation</w:t>
      </w:r>
    </w:p>
    <w:p w:rsidR="00000000" w:rsidRPr="006E020F" w:rsidP="006E020F">
      <w:pPr>
        <w:pStyle w:val="ListBullet2"/>
      </w:pPr>
      <w:r w:rsidRPr="006E020F">
        <w:t>government monetary and fiscal policy</w:t>
      </w:r>
    </w:p>
    <w:p w:rsidR="00000000" w:rsidRPr="006E020F" w:rsidP="006E020F">
      <w:pPr>
        <w:pStyle w:val="ListBullet"/>
      </w:pPr>
      <w:r w:rsidRPr="006E020F">
        <w:t>analyse and provide a detailed explanation of the operation of financial markets including:</w:t>
      </w:r>
    </w:p>
    <w:p w:rsidR="00000000" w:rsidRPr="006E020F" w:rsidP="006E020F">
      <w:pPr>
        <w:pStyle w:val="ListBullet2"/>
      </w:pPr>
      <w:r w:rsidRPr="006E020F">
        <w:t>roles played by intermediaries and issuers</w:t>
      </w:r>
    </w:p>
    <w:p w:rsidR="00000000" w:rsidRPr="006E020F" w:rsidP="006E020F">
      <w:pPr>
        <w:pStyle w:val="ListBullet2"/>
      </w:pPr>
      <w:r w:rsidRPr="006E020F">
        <w:t>structure and interrelationships within the financial markets</w:t>
      </w:r>
    </w:p>
    <w:p w:rsidR="00000000" w:rsidRPr="006E020F" w:rsidP="006E020F">
      <w:pPr>
        <w:pStyle w:val="ListBullet2"/>
      </w:pPr>
      <w:r w:rsidRPr="006E020F">
        <w:t xml:space="preserve">interrelationship between industry sectors </w:t>
      </w:r>
    </w:p>
    <w:p w:rsidR="00000000" w:rsidRPr="006E020F" w:rsidP="006E020F">
      <w:pPr>
        <w:pStyle w:val="ListBullet"/>
      </w:pPr>
      <w:r w:rsidRPr="006E020F">
        <w:t>outline finan</w:t>
      </w:r>
      <w:r w:rsidRPr="006E020F">
        <w:t>cial products, including:</w:t>
      </w:r>
    </w:p>
    <w:p w:rsidR="00000000" w:rsidRPr="006E020F" w:rsidP="006E020F">
      <w:pPr>
        <w:pStyle w:val="ListBullet2"/>
      </w:pPr>
      <w:r w:rsidRPr="006E020F">
        <w:t>concept of a financial product – general definition, and specific inclusions and exclusions</w:t>
      </w:r>
    </w:p>
    <w:p w:rsidR="00000000" w:rsidRPr="006E020F" w:rsidP="006E020F">
      <w:pPr>
        <w:pStyle w:val="ListBullet2"/>
      </w:pPr>
      <w:r w:rsidRPr="006E020F">
        <w:t>types of financial investment products</w:t>
      </w:r>
    </w:p>
    <w:p w:rsidR="00000000" w:rsidRPr="006E020F" w:rsidP="006E020F">
      <w:pPr>
        <w:pStyle w:val="ListBullet2"/>
      </w:pPr>
      <w:r w:rsidRPr="006E020F">
        <w:t>types of financial risk products.</w:t>
      </w:r>
    </w:p>
    <w:p w:rsidR="00000000" w:rsidRPr="006E020F" w:rsidP="006E020F">
      <w:pPr>
        <w:pStyle w:val="BodyText"/>
      </w:pPr>
    </w:p>
    <w:p w:rsidR="00000000" w:rsidRPr="006E020F" w:rsidP="00C834EF">
      <w:pPr>
        <w:pStyle w:val="Heading3"/>
      </w:pPr>
      <w:r w:rsidRPr="006E020F">
        <w:rPr>
          <w:rStyle w:val="SpecialBold"/>
        </w:rPr>
        <w:t>Core insurance knowledge</w:t>
      </w:r>
    </w:p>
    <w:p w:rsidR="00000000" w:rsidRPr="006E020F" w:rsidP="006E020F">
      <w:pPr>
        <w:pStyle w:val="ListBullet"/>
      </w:pPr>
      <w:r w:rsidRPr="006E020F">
        <w:t>explain the operation of insurance ma</w:t>
      </w:r>
      <w:r w:rsidRPr="006E020F">
        <w:t>rkets including:</w:t>
      </w:r>
    </w:p>
    <w:p w:rsidR="00000000" w:rsidRPr="006E020F" w:rsidP="006E020F">
      <w:pPr>
        <w:pStyle w:val="ListBullet2"/>
      </w:pPr>
      <w:r w:rsidRPr="006E020F">
        <w:t xml:space="preserve">definition of insurance product </w:t>
      </w:r>
    </w:p>
    <w:p w:rsidR="00000000" w:rsidRPr="006E020F" w:rsidP="006E020F">
      <w:pPr>
        <w:pStyle w:val="ListBullet2"/>
      </w:pPr>
      <w:r w:rsidRPr="006E020F">
        <w:t xml:space="preserve">characteristics and participants of the Australian insurance market </w:t>
      </w:r>
    </w:p>
    <w:p w:rsidR="00000000" w:rsidRPr="006E020F" w:rsidP="006E020F">
      <w:pPr>
        <w:pStyle w:val="ListBullet2"/>
      </w:pPr>
      <w:r w:rsidRPr="006E020F">
        <w:t xml:space="preserve">roles played by intermediaries </w:t>
      </w:r>
    </w:p>
    <w:p w:rsidR="00000000" w:rsidRPr="006E020F" w:rsidP="006E020F">
      <w:pPr>
        <w:pStyle w:val="ListBullet"/>
      </w:pPr>
      <w:r w:rsidRPr="006E020F">
        <w:t xml:space="preserve">describe insurance products including risk insurance products, investment life insurance </w:t>
      </w:r>
      <w:r w:rsidRPr="006E020F">
        <w:t xml:space="preserve">products and general insurance products </w:t>
      </w:r>
    </w:p>
    <w:p w:rsidR="00000000" w:rsidRPr="006E020F" w:rsidP="006E020F">
      <w:pPr>
        <w:pStyle w:val="ListBullet"/>
      </w:pPr>
      <w:r w:rsidRPr="006E020F">
        <w:t>explain the following aspects of insurance products:</w:t>
      </w:r>
    </w:p>
    <w:p w:rsidR="00000000" w:rsidRPr="006E020F" w:rsidP="006E020F">
      <w:pPr>
        <w:pStyle w:val="ListBullet2"/>
      </w:pPr>
      <w:r w:rsidRPr="006E020F">
        <w:t>conditions, exclusions and levels of coverage of risk transfer products</w:t>
      </w:r>
    </w:p>
    <w:p w:rsidR="00000000" w:rsidRPr="006E020F" w:rsidP="006E020F">
      <w:pPr>
        <w:pStyle w:val="ListBullet2"/>
      </w:pPr>
      <w:r w:rsidRPr="006E020F">
        <w:t xml:space="preserve">pricing </w:t>
      </w:r>
    </w:p>
    <w:p w:rsidR="00000000" w:rsidRPr="006E020F" w:rsidP="006E020F">
      <w:pPr>
        <w:pStyle w:val="ListBullet"/>
      </w:pPr>
      <w:r w:rsidRPr="006E020F">
        <w:t xml:space="preserve">outline taxation issues in relation to insurance products and markets </w:t>
      </w:r>
    </w:p>
    <w:p w:rsidR="00000000" w:rsidRPr="006E020F" w:rsidP="006E020F">
      <w:pPr>
        <w:pStyle w:val="ListBullet"/>
      </w:pPr>
      <w:r w:rsidRPr="006E020F">
        <w:t>describe</w:t>
      </w:r>
      <w:r w:rsidRPr="006E020F">
        <w:t xml:space="preserve"> advisory functions, including:</w:t>
      </w:r>
    </w:p>
    <w:p w:rsidR="00000000" w:rsidRPr="006E020F" w:rsidP="006E020F">
      <w:pPr>
        <w:pStyle w:val="ListBullet2"/>
      </w:pPr>
      <w:r w:rsidRPr="006E020F">
        <w:t>role of insurance adviser, broker or agent</w:t>
      </w:r>
    </w:p>
    <w:p w:rsidR="00000000" w:rsidRPr="006E020F" w:rsidP="006E020F">
      <w:pPr>
        <w:pStyle w:val="ListBullet2"/>
      </w:pPr>
      <w:r w:rsidRPr="006E020F">
        <w:t>participants in the insurance advisory services market</w:t>
      </w:r>
    </w:p>
    <w:p w:rsidR="00000000" w:rsidRPr="006E020F" w:rsidP="006E020F">
      <w:pPr>
        <w:pStyle w:val="ListBullet2"/>
      </w:pPr>
      <w:r w:rsidRPr="006E020F">
        <w:t>range of services provided</w:t>
      </w:r>
    </w:p>
    <w:p w:rsidR="00000000" w:rsidRPr="006E020F" w:rsidP="006E020F">
      <w:pPr>
        <w:pStyle w:val="ListBullet2"/>
      </w:pPr>
      <w:r w:rsidRPr="006E020F">
        <w:t>profile and financial information of the client</w:t>
      </w:r>
    </w:p>
    <w:p w:rsidR="00000000" w:rsidRPr="006E020F" w:rsidP="006E020F">
      <w:pPr>
        <w:pStyle w:val="ListBullet2"/>
      </w:pPr>
      <w:r w:rsidRPr="006E020F">
        <w:t>appropriateness of a risk assessment</w:t>
      </w:r>
    </w:p>
    <w:p w:rsidR="00000000" w:rsidRPr="006E020F" w:rsidP="006E020F">
      <w:pPr>
        <w:pStyle w:val="ListBullet"/>
      </w:pPr>
      <w:r w:rsidRPr="006E020F">
        <w:t xml:space="preserve">discuss the </w:t>
      </w:r>
      <w:r w:rsidRPr="006E020F">
        <w:t>legal environment including disclosure and compliance covering:</w:t>
      </w:r>
    </w:p>
    <w:p w:rsidR="00000000" w:rsidRPr="006E020F" w:rsidP="006E020F">
      <w:pPr>
        <w:pStyle w:val="ListBullet2"/>
      </w:pPr>
      <w:r w:rsidRPr="006E020F">
        <w:t>role of the representative or adviser</w:t>
      </w:r>
    </w:p>
    <w:p w:rsidR="00000000" w:rsidRPr="006E020F" w:rsidP="006E020F">
      <w:pPr>
        <w:pStyle w:val="ListBullet2"/>
      </w:pPr>
      <w:r w:rsidRPr="006E020F">
        <w:t>relevant legal principles relating to the Corporations Act, Australian Securities and Investments Commission (ASIC) Act, Insurance Contracts Act, Life In</w:t>
      </w:r>
      <w:r w:rsidRPr="006E020F">
        <w:t>surance Act, Privacy Amendment (Private Sector) Act, Financial Services Reform Act (FSRA) and Competition and Consumer Act</w:t>
      </w:r>
    </w:p>
    <w:p w:rsidR="00000000" w:rsidRPr="006E020F" w:rsidP="006E020F">
      <w:pPr>
        <w:pStyle w:val="ListBullet2"/>
      </w:pPr>
      <w:r w:rsidRPr="006E020F">
        <w:t>relationship between ethics and regulatory requirements including good faith, faith, utmost good faith, full disclosure of remuneration and fees, and any other conflicts of interest which may influence the adviser</w:t>
      </w:r>
      <w:r>
        <w:t>’</w:t>
      </w:r>
      <w:r w:rsidRPr="006E020F">
        <w:t>s recommendation</w:t>
      </w:r>
    </w:p>
    <w:p w:rsidR="00000000" w:rsidRPr="006E020F" w:rsidP="006E020F">
      <w:pPr>
        <w:pStyle w:val="ListBullet2"/>
      </w:pPr>
      <w:r w:rsidRPr="006E020F">
        <w:t>relevant industry standar</w:t>
      </w:r>
      <w:r w:rsidRPr="006E020F">
        <w:t xml:space="preserve">ds and codes of conduct </w:t>
      </w:r>
    </w:p>
    <w:p w:rsidR="00000000" w:rsidRPr="006E020F" w:rsidP="006E020F">
      <w:pPr>
        <w:pStyle w:val="ListBullet2"/>
      </w:pPr>
      <w:r w:rsidRPr="006E020F">
        <w:t xml:space="preserve">regulators’ guidelines including ASIC Regulatory Guide (RG)146 requirements </w:t>
      </w:r>
    </w:p>
    <w:p w:rsidR="00000000" w:rsidRPr="006E020F" w:rsidP="006E020F">
      <w:pPr>
        <w:pStyle w:val="ListBullet2"/>
      </w:pPr>
      <w:r w:rsidRPr="006E020F">
        <w:t>complaints resolution procedures (external and internal).</w:t>
      </w:r>
    </w:p>
    <w:p w:rsidR="00000000" w:rsidRPr="006E020F" w:rsidP="006E020F">
      <w:pPr>
        <w:pStyle w:val="BodyText"/>
      </w:pPr>
    </w:p>
    <w:p w:rsidR="00000000" w:rsidRPr="006E020F" w:rsidP="00C834EF">
      <w:pPr>
        <w:pStyle w:val="Heading3"/>
      </w:pPr>
      <w:r w:rsidRPr="006E020F">
        <w:rPr>
          <w:rStyle w:val="SpecialBold"/>
        </w:rPr>
        <w:t xml:space="preserve">Specialist knowledge </w:t>
      </w:r>
    </w:p>
    <w:p w:rsidR="00000000" w:rsidRPr="006E020F" w:rsidP="006E020F">
      <w:pPr>
        <w:pStyle w:val="ListBullet"/>
      </w:pPr>
      <w:r w:rsidRPr="006E020F">
        <w:t>outline the following aspects of insurance broking:</w:t>
      </w:r>
    </w:p>
    <w:p w:rsidR="00000000" w:rsidRPr="006E020F" w:rsidP="006E020F">
      <w:pPr>
        <w:pStyle w:val="ListBullet2"/>
      </w:pPr>
      <w:r w:rsidRPr="006E020F">
        <w:t>types and classes o</w:t>
      </w:r>
      <w:r w:rsidRPr="006E020F">
        <w:t>f insurance products and policies</w:t>
      </w:r>
    </w:p>
    <w:p w:rsidR="00000000" w:rsidRPr="006E020F" w:rsidP="006E020F">
      <w:pPr>
        <w:pStyle w:val="ListBullet2"/>
      </w:pPr>
      <w:r w:rsidRPr="006E020F">
        <w:t>standard cover and deviations</w:t>
      </w:r>
    </w:p>
    <w:p w:rsidR="00000000" w:rsidRPr="006E020F" w:rsidP="006E020F">
      <w:pPr>
        <w:pStyle w:val="ListBullet2"/>
      </w:pPr>
      <w:r w:rsidRPr="006E020F">
        <w:t>product development</w:t>
      </w:r>
    </w:p>
    <w:p w:rsidR="00000000" w:rsidRPr="006E020F" w:rsidP="006E020F">
      <w:pPr>
        <w:pStyle w:val="ListBullet2"/>
      </w:pPr>
      <w:r w:rsidRPr="006E020F">
        <w:t>policy wordings</w:t>
      </w:r>
    </w:p>
    <w:p w:rsidR="00000000" w:rsidRPr="006E020F" w:rsidP="006E020F">
      <w:pPr>
        <w:pStyle w:val="ListBullet2"/>
      </w:pPr>
      <w:r w:rsidRPr="006E020F">
        <w:t>underwriting</w:t>
      </w:r>
    </w:p>
    <w:p w:rsidR="00000000" w:rsidRPr="006E020F" w:rsidP="006E020F">
      <w:pPr>
        <w:pStyle w:val="ListBullet2"/>
      </w:pPr>
      <w:r w:rsidRPr="006E020F">
        <w:t>insurance claims</w:t>
      </w:r>
    </w:p>
    <w:p w:rsidR="00000000" w:rsidRPr="006E020F" w:rsidP="006E020F">
      <w:pPr>
        <w:pStyle w:val="ListBullet2"/>
      </w:pPr>
      <w:r w:rsidRPr="006E020F">
        <w:t>premium rating and risk assessment</w:t>
      </w:r>
    </w:p>
    <w:p w:rsidR="00000000" w:rsidRPr="006E020F" w:rsidP="006E020F">
      <w:pPr>
        <w:pStyle w:val="ListBullet2"/>
      </w:pPr>
      <w:r w:rsidRPr="006E020F">
        <w:t>types of broking services.</w:t>
      </w:r>
    </w:p>
    <w:p w:rsidR="00000000" w:rsidRPr="006E020F" w:rsidP="006E020F">
      <w:pPr>
        <w:pStyle w:val="AllowPageBreak"/>
      </w:pPr>
    </w:p>
    <w:p w:rsidR="00000000" w:rsidRPr="006E020F" w:rsidP="006E020F">
      <w:pPr>
        <w:pStyle w:val="Heading1"/>
      </w:pPr>
      <w:bookmarkStart w:id="4" w:name="O_734729"/>
      <w:bookmarkEnd w:id="4"/>
      <w:r w:rsidRPr="006E020F">
        <w:t>Assessment Conditions</w:t>
      </w:r>
    </w:p>
    <w:p w:rsidR="00000000" w:rsidRPr="006E020F" w:rsidP="00C834EF">
      <w:pPr>
        <w:pStyle w:val="BodyText"/>
      </w:pPr>
      <w:r w:rsidRPr="006E020F">
        <w:t>Assessment must be conducted in a safe environment where evidence gathered demonstrates consistent performance of typical activities experienced in the financial services and products advice field of work and include access to:</w:t>
      </w:r>
    </w:p>
    <w:p w:rsidR="00000000" w:rsidRPr="006E020F" w:rsidP="006E020F">
      <w:pPr>
        <w:pStyle w:val="ListBullet"/>
      </w:pPr>
      <w:r w:rsidRPr="006E020F">
        <w:t>office equipment, technolog</w:t>
      </w:r>
      <w:r w:rsidRPr="006E020F">
        <w:t>y, software and consumables</w:t>
      </w:r>
    </w:p>
    <w:p w:rsidR="00000000" w:rsidRPr="006E020F" w:rsidP="006E020F">
      <w:pPr>
        <w:pStyle w:val="ListBullet"/>
      </w:pPr>
      <w:r w:rsidRPr="006E020F">
        <w:t>insurance broking product information.</w:t>
      </w:r>
    </w:p>
    <w:p w:rsidR="00000000" w:rsidRPr="006E020F" w:rsidP="006E020F">
      <w:pPr>
        <w:pStyle w:val="BodyText"/>
      </w:pPr>
    </w:p>
    <w:p w:rsidR="00000000" w:rsidRPr="006E020F" w:rsidP="00C834EF">
      <w:pPr>
        <w:pStyle w:val="BodyText"/>
      </w:pPr>
      <w:r w:rsidRPr="006E020F">
        <w:t xml:space="preserve">Assessors must satisfy NVR/AQTF assessor requirements. </w:t>
      </w:r>
    </w:p>
    <w:p w:rsidR="00000000" w:rsidRPr="006E020F" w:rsidP="006E020F">
      <w:pPr>
        <w:pStyle w:val="Heading1"/>
      </w:pPr>
      <w:bookmarkStart w:id="5" w:name="O_734742"/>
      <w:bookmarkEnd w:id="5"/>
      <w:r w:rsidRPr="006E020F">
        <w:t>Links</w:t>
      </w:r>
    </w:p>
    <w:p w:rsidR="00000000" w:rsidRPr="006E020F" w:rsidP="00C834EF">
      <w:pPr>
        <w:pStyle w:val="BodyText"/>
      </w:pPr>
      <w:r w:rsidRPr="006E0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C0D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020F" w:rsidP="006E020F"/>
    <w:sectPr w:rsidSect="006E02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0F" w:rsidRPr="00C834EF" w:rsidP="00C83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4EF" w:rsidP="006E0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4EF" w:rsidP="006E0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34EF" w:rsidP="006E0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20F" w:rsidRPr="00C834EF" w:rsidP="00C83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4EF" w:rsidRPr="002D2AF8" w:rsidP="006E0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FNSASICY503 Provide advice in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834EF" w:rsidP="006E0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EA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CC7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503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20F"/>
  </w:style>
  <w:style w:type="character" w:customStyle="1" w:styleId="Heading1Char">
    <w:name w:val="Heading 1 Char"/>
    <w:basedOn w:val="DefaultParagraphFont"/>
    <w:link w:val="Heading1"/>
    <w:rsid w:val="006E0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20F"/>
    <w:rPr>
      <w:b/>
      <w:spacing w:val="0"/>
    </w:rPr>
  </w:style>
  <w:style w:type="paragraph" w:styleId="ListBullet2">
    <w:name w:val="List Bullet 2"/>
    <w:basedOn w:val="List2"/>
    <w:rsid w:val="006E02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20F"/>
    <w:rPr>
      <w:i/>
    </w:rPr>
  </w:style>
  <w:style w:type="paragraph" w:styleId="Caption">
    <w:name w:val="caption"/>
    <w:basedOn w:val="BodyText"/>
    <w:next w:val="Normal"/>
    <w:qFormat/>
    <w:rsid w:val="006E0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20F"/>
  </w:style>
  <w:style w:type="paragraph" w:styleId="TableofFigures">
    <w:name w:val="table of figures"/>
    <w:basedOn w:val="Normal"/>
    <w:next w:val="Normal"/>
    <w:semiHidden/>
    <w:rsid w:val="006E0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20F"/>
    <w:rPr>
      <w:rFonts w:ascii="Wingdings" w:hAnsi="Wingdings"/>
    </w:rPr>
  </w:style>
  <w:style w:type="paragraph" w:customStyle="1" w:styleId="TableHeading">
    <w:name w:val="Table Heading"/>
    <w:basedOn w:val="HeadingBase"/>
    <w:rsid w:val="006E0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20F"/>
    <w:rPr>
      <w:color w:val="0033CC"/>
      <w:u w:val="none"/>
    </w:rPr>
  </w:style>
  <w:style w:type="paragraph" w:customStyle="1" w:styleId="BodyTextRight">
    <w:name w:val="Body Text Right"/>
    <w:basedOn w:val="BodyText"/>
    <w:rsid w:val="006E0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20F"/>
    <w:rPr>
      <w:sz w:val="32"/>
    </w:rPr>
  </w:style>
  <w:style w:type="paragraph" w:customStyle="1" w:styleId="HeadingProcedure">
    <w:name w:val="Heading Procedure"/>
    <w:basedOn w:val="HeadingBase"/>
    <w:next w:val="Normal"/>
    <w:rsid w:val="006E0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20F"/>
    <w:pPr>
      <w:spacing w:before="60" w:after="60"/>
    </w:pPr>
  </w:style>
  <w:style w:type="paragraph" w:styleId="ListContinue">
    <w:name w:val="List Continue"/>
    <w:basedOn w:val="List"/>
    <w:rsid w:val="006E020F"/>
    <w:pPr>
      <w:ind w:firstLine="0"/>
    </w:pPr>
  </w:style>
  <w:style w:type="paragraph" w:customStyle="1" w:styleId="ListNote">
    <w:name w:val="List Note"/>
    <w:basedOn w:val="List"/>
    <w:rsid w:val="006E0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20F"/>
    <w:rPr>
      <w:rFonts w:ascii="Courier New" w:hAnsi="Courier New"/>
    </w:rPr>
  </w:style>
  <w:style w:type="paragraph" w:customStyle="1" w:styleId="NoteBullet">
    <w:name w:val="Note Bullet"/>
    <w:basedOn w:val="Note"/>
    <w:rsid w:val="006E0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20F"/>
    <w:rPr>
      <w:b/>
      <w:smallCaps/>
    </w:rPr>
  </w:style>
  <w:style w:type="paragraph" w:customStyle="1" w:styleId="TableListNumber">
    <w:name w:val="Table List Number"/>
    <w:basedOn w:val="ListNumber"/>
    <w:rsid w:val="006E0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20F"/>
    <w:pPr>
      <w:numPr>
        <w:numId w:val="9"/>
      </w:numPr>
    </w:pPr>
  </w:style>
  <w:style w:type="paragraph" w:customStyle="1" w:styleId="ListAlpha2">
    <w:name w:val="List Alpha 2"/>
    <w:basedOn w:val="List2"/>
    <w:rsid w:val="006E020F"/>
    <w:pPr>
      <w:numPr>
        <w:numId w:val="8"/>
      </w:numPr>
    </w:pPr>
  </w:style>
  <w:style w:type="paragraph" w:styleId="List2">
    <w:name w:val="List 2"/>
    <w:basedOn w:val="BodyText"/>
    <w:rsid w:val="006E0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20F"/>
    <w:pPr>
      <w:numPr>
        <w:numId w:val="4"/>
      </w:numPr>
    </w:pPr>
  </w:style>
  <w:style w:type="paragraph" w:styleId="ListContinue2">
    <w:name w:val="List Continue 2"/>
    <w:basedOn w:val="List2"/>
    <w:rsid w:val="006E020F"/>
    <w:pPr>
      <w:ind w:firstLine="0"/>
    </w:pPr>
  </w:style>
  <w:style w:type="paragraph" w:styleId="ListContinue3">
    <w:name w:val="List Continue 3"/>
    <w:basedOn w:val="List3"/>
    <w:rsid w:val="006E020F"/>
    <w:pPr>
      <w:ind w:left="1021" w:firstLine="0"/>
    </w:pPr>
  </w:style>
  <w:style w:type="paragraph" w:styleId="ListContinue4">
    <w:name w:val="List Continue 4"/>
    <w:basedOn w:val="List4"/>
    <w:rsid w:val="006E020F"/>
    <w:pPr>
      <w:ind w:firstLine="0"/>
    </w:pPr>
  </w:style>
  <w:style w:type="paragraph" w:styleId="ListContinue5">
    <w:name w:val="List Continue 5"/>
    <w:basedOn w:val="List5"/>
    <w:rsid w:val="006E020F"/>
    <w:pPr>
      <w:ind w:firstLine="0"/>
    </w:pPr>
  </w:style>
  <w:style w:type="paragraph" w:styleId="ListNumber3">
    <w:name w:val="List Number 3"/>
    <w:basedOn w:val="List3"/>
    <w:rsid w:val="006E020F"/>
    <w:pPr>
      <w:numPr>
        <w:numId w:val="5"/>
      </w:numPr>
    </w:pPr>
  </w:style>
  <w:style w:type="paragraph" w:styleId="ListNumber4">
    <w:name w:val="List Number 4"/>
    <w:basedOn w:val="List4"/>
    <w:rsid w:val="006E020F"/>
    <w:pPr>
      <w:numPr>
        <w:numId w:val="6"/>
      </w:numPr>
    </w:pPr>
  </w:style>
  <w:style w:type="paragraph" w:styleId="ListNumber5">
    <w:name w:val="List Number 5"/>
    <w:basedOn w:val="List5"/>
    <w:rsid w:val="006E020F"/>
    <w:pPr>
      <w:numPr>
        <w:numId w:val="7"/>
      </w:numPr>
    </w:pPr>
  </w:style>
  <w:style w:type="paragraph" w:styleId="BlockText">
    <w:name w:val="Block Text"/>
    <w:basedOn w:val="Normal"/>
    <w:rsid w:val="006E0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20F"/>
    <w:rPr>
      <w:sz w:val="16"/>
      <w:vertAlign w:val="superscript"/>
    </w:rPr>
  </w:style>
  <w:style w:type="character" w:customStyle="1" w:styleId="Symbols">
    <w:name w:val="Symbols"/>
    <w:basedOn w:val="DefaultParagraphFont"/>
    <w:rsid w:val="006E020F"/>
    <w:rPr>
      <w:rFonts w:ascii="Symbol" w:hAnsi="Symbol"/>
    </w:rPr>
  </w:style>
  <w:style w:type="character" w:customStyle="1" w:styleId="MenuOptions">
    <w:name w:val="Menu Options"/>
    <w:basedOn w:val="DefaultParagraphFont"/>
    <w:rsid w:val="006E0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20F"/>
    <w:rPr>
      <w:b/>
    </w:rPr>
  </w:style>
  <w:style w:type="character" w:customStyle="1" w:styleId="Underlined">
    <w:name w:val="Underlined"/>
    <w:basedOn w:val="DefaultParagraphFont"/>
    <w:rsid w:val="006E020F"/>
    <w:rPr>
      <w:u w:val="single"/>
    </w:rPr>
  </w:style>
  <w:style w:type="paragraph" w:customStyle="1" w:styleId="TableBodyTextRight">
    <w:name w:val="Table Body Text Right"/>
    <w:basedOn w:val="TableBodyText"/>
    <w:rsid w:val="006E0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20F"/>
    <w:rPr>
      <w:sz w:val="18"/>
    </w:rPr>
  </w:style>
  <w:style w:type="paragraph" w:customStyle="1" w:styleId="BodySmallRight">
    <w:name w:val="Body Small Right"/>
    <w:basedOn w:val="BodyTextRight"/>
    <w:rsid w:val="006E020F"/>
    <w:rPr>
      <w:sz w:val="18"/>
      <w:szCs w:val="18"/>
    </w:rPr>
  </w:style>
  <w:style w:type="paragraph" w:customStyle="1" w:styleId="MarginEdition">
    <w:name w:val="Margin Edition"/>
    <w:basedOn w:val="MarginNote"/>
    <w:rsid w:val="006E0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20F"/>
    <w:rPr>
      <w:sz w:val="2"/>
      <w:szCs w:val="2"/>
    </w:rPr>
  </w:style>
  <w:style w:type="character" w:customStyle="1" w:styleId="Small">
    <w:name w:val="Small"/>
    <w:basedOn w:val="DefaultParagraphFont"/>
    <w:rsid w:val="006E020F"/>
    <w:rPr>
      <w:sz w:val="16"/>
    </w:rPr>
  </w:style>
  <w:style w:type="paragraph" w:customStyle="1" w:styleId="WideTable">
    <w:name w:val="Wide Table"/>
    <w:basedOn w:val="Normal"/>
    <w:rsid w:val="006E0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20F"/>
  </w:style>
  <w:style w:type="paragraph" w:styleId="Quote">
    <w:name w:val="Quote"/>
    <w:basedOn w:val="Heading1"/>
    <w:link w:val="QuoteChar"/>
    <w:qFormat/>
    <w:rsid w:val="006E0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20F"/>
    <w:pPr>
      <w:pageBreakBefore/>
    </w:pPr>
  </w:style>
  <w:style w:type="paragraph" w:customStyle="1" w:styleId="Border">
    <w:name w:val="Border"/>
    <w:basedOn w:val="Normal"/>
    <w:qFormat/>
    <w:rsid w:val="006E0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20F"/>
    <w:rPr>
      <w:u w:val="single"/>
    </w:rPr>
  </w:style>
  <w:style w:type="character" w:customStyle="1" w:styleId="BoldandItalics">
    <w:name w:val="Bold and Italics"/>
    <w:qFormat/>
    <w:rsid w:val="006E020F"/>
    <w:rPr>
      <w:b/>
      <w:i/>
      <w:u w:val="none"/>
    </w:rPr>
  </w:style>
  <w:style w:type="paragraph" w:styleId="BalloonText">
    <w:name w:val="Balloon Text"/>
    <w:basedOn w:val="Normal"/>
    <w:link w:val="BalloonTextChar"/>
    <w:rsid w:val="006E0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20F"/>
    <w:pPr>
      <w:spacing w:before="0" w:after="0"/>
    </w:pPr>
  </w:style>
  <w:style w:type="paragraph" w:customStyle="1" w:styleId="BodyTextBold">
    <w:name w:val="Body Text Bold"/>
    <w:basedOn w:val="BodyText"/>
    <w:qFormat/>
    <w:rsid w:val="006E020F"/>
    <w:rPr>
      <w:b/>
    </w:rPr>
  </w:style>
  <w:style w:type="character" w:styleId="Hyperlink">
    <w:name w:val="Hyperlink"/>
    <w:basedOn w:val="DefaultParagraphFont"/>
    <w:uiPriority w:val="99"/>
    <w:unhideWhenUsed/>
    <w:rsid w:val="00C83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3928</Characters>
  <Application>Microsoft Office Word</Application>
  <DocSecurity>0</DocSecurity>
  <Lines>112</Lines>
  <Paragraphs>86</Paragraphs>
  <ScaleCrop>false</ScaleCrop>
  <Company>Author-it Software Corporation Ltd.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FNSASICY503 Provide advice in insurance broking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2020-06-30T15:15:00Z</dcterms:created>
  <dcterms:modified xsi:type="dcterms:W3CDTF">2020-06-30T15:15:00Z</dcterms:modified>
</cp:coreProperties>
</file>