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36E6" w:rsidP="009E36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FNSASICT513 Provide wholesale advice in managed investments</w:t>
      </w:r>
      <w:r>
        <w:fldChar w:fldCharType="end"/>
      </w:r>
    </w:p>
    <w:p w:rsidR="009E36E6" w:rsidP="009E36E6">
      <w:pPr>
        <w:pStyle w:val="Version"/>
        <w:sectPr w:rsidSect="005B51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51F0" w:rsidP="005B51F0">
      <w:pPr>
        <w:pStyle w:val="SuperHeading"/>
      </w:pPr>
      <w:r w:rsidRPr="005B51F0">
        <w:t>Assessment Requirements for FNSASICT513 Provide wholesale advice in managed investments</w:t>
      </w:r>
    </w:p>
    <w:p w:rsidR="00000000" w:rsidRPr="005B51F0" w:rsidP="005B51F0">
      <w:pPr>
        <w:pStyle w:val="Heading1"/>
      </w:pPr>
      <w:bookmarkStart w:id="1" w:name="O_1235345"/>
      <w:bookmarkEnd w:id="1"/>
      <w:r w:rsidRPr="005B51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B5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1F0" w:rsidP="005B51F0">
            <w:pPr>
              <w:pStyle w:val="BodyText"/>
            </w:pPr>
            <w:r w:rsidRPr="005B51F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1F0">
            <w:pPr>
              <w:pStyle w:val="BodyText"/>
              <w:rPr>
                <w:lang w:val="en-NZ"/>
              </w:rPr>
            </w:pPr>
            <w:r w:rsidRPr="005B51F0">
              <w:rPr>
                <w:rStyle w:val="SpecialBold"/>
              </w:rPr>
              <w:t>Comments</w:t>
            </w:r>
          </w:p>
        </w:tc>
      </w:tr>
      <w:tr w:rsidTr="005B51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1F0">
            <w:pPr>
              <w:pStyle w:val="BodyText"/>
              <w:rPr>
                <w:lang w:val="en-NZ"/>
              </w:rPr>
            </w:pPr>
            <w:r w:rsidRPr="005B51F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1F0" w:rsidP="005B51F0">
            <w:pPr>
              <w:pStyle w:val="BodyText"/>
            </w:pPr>
            <w:r w:rsidRPr="005B51F0">
              <w:t>This version first released with the FNS Financial Services Training Package Version 8.0.</w:t>
            </w:r>
          </w:p>
          <w:p w:rsidR="00000000" w:rsidRPr="005B51F0" w:rsidP="005B51F0">
            <w:pPr>
              <w:pStyle w:val="BodyText"/>
            </w:pPr>
            <w:r w:rsidRPr="005B51F0">
              <w:t>Supersedes and is not equivalent to FNSASICT503 Provide advice in managed investments.</w:t>
            </w:r>
          </w:p>
        </w:tc>
      </w:tr>
    </w:tbl>
    <w:p w:rsidR="00000000" w:rsidRPr="005B51F0" w:rsidP="005B51F0">
      <w:pPr>
        <w:pStyle w:val="BodyText"/>
      </w:pPr>
    </w:p>
    <w:p w:rsidR="00000000" w:rsidRPr="005B51F0" w:rsidP="005B51F0">
      <w:pPr>
        <w:pStyle w:val="AllowPageBreak"/>
      </w:pPr>
    </w:p>
    <w:p w:rsidR="00000000" w:rsidRPr="005B51F0" w:rsidP="005B51F0">
      <w:pPr>
        <w:pStyle w:val="Heading1"/>
      </w:pPr>
      <w:bookmarkStart w:id="2" w:name="O_1235346"/>
      <w:bookmarkEnd w:id="2"/>
      <w:r w:rsidRPr="005B51F0">
        <w:t>Performance Evidence</w:t>
      </w:r>
    </w:p>
    <w:p w:rsidR="00000000" w:rsidRPr="005B51F0" w:rsidP="009E36E6">
      <w:pPr>
        <w:pStyle w:val="BodyText"/>
      </w:pPr>
      <w:r w:rsidRPr="005B51F0">
        <w:t xml:space="preserve">The candidate must demonstrate the ability to complete the tasks outlined in the elements, performance criteria and foundation </w:t>
      </w:r>
      <w:r w:rsidRPr="005B51F0">
        <w:t>skills of this unit, including evidence of the ability to:</w:t>
      </w:r>
    </w:p>
    <w:p w:rsidR="00000000" w:rsidRPr="005B51F0" w:rsidP="005B51F0">
      <w:pPr>
        <w:pStyle w:val="ListBullet"/>
      </w:pPr>
      <w:r w:rsidRPr="005B51F0">
        <w:t>provide wholesale advice in managed investments for at least two different clients.</w:t>
      </w:r>
    </w:p>
    <w:p w:rsidR="00000000" w:rsidRPr="005B51F0" w:rsidP="005B51F0">
      <w:pPr>
        <w:pStyle w:val="BodyText"/>
      </w:pPr>
    </w:p>
    <w:p w:rsidR="00000000" w:rsidRPr="005B51F0" w:rsidP="009E36E6">
      <w:pPr>
        <w:pStyle w:val="BodyText"/>
      </w:pPr>
      <w:r w:rsidRPr="005B51F0">
        <w:t>In the course of the above, the candidate must:</w:t>
      </w:r>
    </w:p>
    <w:p w:rsidR="00000000" w:rsidRPr="005B51F0" w:rsidP="005B51F0">
      <w:pPr>
        <w:pStyle w:val="ListBullet"/>
      </w:pPr>
      <w:r w:rsidRPr="005B51F0">
        <w:t>comply with or</w:t>
      </w:r>
      <w:r w:rsidRPr="005B51F0">
        <w:t>ganisational policies and procedures, industry regulations and legislative requirements for managed investments</w:t>
      </w:r>
    </w:p>
    <w:p w:rsidR="00000000" w:rsidRPr="005B51F0" w:rsidP="005B51F0">
      <w:pPr>
        <w:pStyle w:val="ListBullet"/>
      </w:pPr>
      <w:r w:rsidRPr="005B51F0">
        <w:t>implement the plan, policy or transaction once agreed by each client.</w:t>
      </w:r>
    </w:p>
    <w:p w:rsidR="00000000" w:rsidRPr="005B51F0" w:rsidP="005B51F0">
      <w:pPr>
        <w:pStyle w:val="AllowPageBreak"/>
      </w:pPr>
    </w:p>
    <w:p w:rsidR="00000000" w:rsidRPr="005B51F0" w:rsidP="005B51F0">
      <w:pPr>
        <w:pStyle w:val="Heading1"/>
      </w:pPr>
      <w:bookmarkStart w:id="3" w:name="O_1235347"/>
      <w:bookmarkEnd w:id="3"/>
      <w:r w:rsidRPr="005B51F0">
        <w:t>Knowledge Evidence</w:t>
      </w:r>
    </w:p>
    <w:p w:rsidR="00000000" w:rsidRPr="005B51F0" w:rsidP="009E36E6">
      <w:pPr>
        <w:pStyle w:val="BodyText"/>
      </w:pPr>
      <w:r w:rsidRPr="005B51F0">
        <w:t>The candidate must be able to demons</w:t>
      </w:r>
      <w:r w:rsidRPr="005B51F0">
        <w:t>trate knowledge to complete the tasks outlined in the elements, performance criteria and foundation skills of this unit, including knowledge of:</w:t>
      </w:r>
    </w:p>
    <w:p w:rsidR="00000000" w:rsidRPr="005B51F0" w:rsidP="005B51F0">
      <w:pPr>
        <w:pStyle w:val="Heading3"/>
      </w:pPr>
      <w:r w:rsidRPr="005B51F0">
        <w:t>General knowledge</w:t>
      </w:r>
    </w:p>
    <w:p w:rsidR="00000000" w:rsidRPr="005B51F0" w:rsidP="005B51F0">
      <w:pPr>
        <w:pStyle w:val="ListBullet"/>
      </w:pPr>
      <w:r w:rsidRPr="005B51F0">
        <w:t>organisational policies and procedures relating to providing wholesale advice in managed inv</w:t>
      </w:r>
      <w:r w:rsidRPr="005B51F0">
        <w:t>estments</w:t>
      </w:r>
    </w:p>
    <w:p w:rsidR="00000000" w:rsidRPr="005B51F0" w:rsidP="005B51F0">
      <w:pPr>
        <w:pStyle w:val="ListBullet"/>
      </w:pPr>
      <w:r w:rsidRPr="005B51F0">
        <w:t>characteristics of the economic environment, including:</w:t>
      </w:r>
    </w:p>
    <w:p w:rsidR="00000000" w:rsidRPr="005B51F0" w:rsidP="005B51F0">
      <w:pPr>
        <w:pStyle w:val="ListBullet2"/>
      </w:pPr>
      <w:r w:rsidRPr="005B51F0">
        <w:t>impact of economic and business cycles</w:t>
      </w:r>
    </w:p>
    <w:p w:rsidR="00000000" w:rsidRPr="005B51F0" w:rsidP="005B51F0">
      <w:pPr>
        <w:pStyle w:val="ListBullet2"/>
      </w:pPr>
      <w:r w:rsidRPr="005B51F0">
        <w:t>interest rates and exchange rates</w:t>
      </w:r>
    </w:p>
    <w:p w:rsidR="00000000" w:rsidRPr="005B51F0" w:rsidP="005B51F0">
      <w:pPr>
        <w:pStyle w:val="ListBullet2"/>
      </w:pPr>
      <w:r w:rsidRPr="005B51F0">
        <w:t>inflation</w:t>
      </w:r>
    </w:p>
    <w:p w:rsidR="00000000" w:rsidRPr="005B51F0" w:rsidP="005B51F0">
      <w:pPr>
        <w:pStyle w:val="ListBullet2"/>
      </w:pPr>
      <w:r w:rsidRPr="005B51F0">
        <w:t>government monetary and fiscal policy</w:t>
      </w:r>
    </w:p>
    <w:p w:rsidR="00000000" w:rsidRPr="005B51F0" w:rsidP="005B51F0">
      <w:pPr>
        <w:pStyle w:val="ListBullet"/>
      </w:pPr>
      <w:r w:rsidRPr="005B51F0">
        <w:t>operation of financial markets, including:</w:t>
      </w:r>
    </w:p>
    <w:p w:rsidR="00000000" w:rsidRPr="005B51F0" w:rsidP="005B51F0">
      <w:pPr>
        <w:pStyle w:val="ListBullet2"/>
      </w:pPr>
      <w:r w:rsidRPr="005B51F0">
        <w:t>roles played by intermediaries and issuers</w:t>
      </w:r>
    </w:p>
    <w:p w:rsidR="00000000" w:rsidRPr="005B51F0" w:rsidP="005B51F0">
      <w:pPr>
        <w:pStyle w:val="ListBullet2"/>
      </w:pPr>
      <w:r w:rsidRPr="005B51F0">
        <w:t>structure and interrelationships within the financial markets</w:t>
      </w:r>
    </w:p>
    <w:p w:rsidR="00000000" w:rsidRPr="005B51F0" w:rsidP="005B51F0">
      <w:pPr>
        <w:pStyle w:val="ListBullet2"/>
      </w:pPr>
      <w:r w:rsidRPr="005B51F0">
        <w:t>interrelationship between industry sectors</w:t>
      </w:r>
    </w:p>
    <w:p w:rsidR="00000000" w:rsidRPr="005B51F0" w:rsidP="005B51F0">
      <w:pPr>
        <w:pStyle w:val="ListBullet"/>
      </w:pPr>
      <w:r w:rsidRPr="005B51F0">
        <w:t>key aspects of financial products, including:</w:t>
      </w:r>
    </w:p>
    <w:p w:rsidR="00000000" w:rsidRPr="005B51F0" w:rsidP="005B51F0">
      <w:pPr>
        <w:pStyle w:val="ListBullet2"/>
      </w:pPr>
      <w:r w:rsidRPr="005B51F0">
        <w:t>types of financial investment products</w:t>
      </w:r>
    </w:p>
    <w:p w:rsidR="00000000" w:rsidRPr="005B51F0" w:rsidP="005B51F0">
      <w:pPr>
        <w:pStyle w:val="ListBullet2"/>
      </w:pPr>
      <w:r w:rsidRPr="005B51F0">
        <w:t>specific inclusions a</w:t>
      </w:r>
      <w:r w:rsidRPr="005B51F0">
        <w:t>nd exclusions</w:t>
      </w:r>
    </w:p>
    <w:p w:rsidR="00000000" w:rsidRPr="005B51F0" w:rsidP="005B51F0">
      <w:pPr>
        <w:pStyle w:val="ListBullet2"/>
      </w:pPr>
      <w:r w:rsidRPr="005B51F0">
        <w:t>types of financial risk products</w:t>
      </w:r>
    </w:p>
    <w:p w:rsidR="00000000" w:rsidRPr="005B51F0" w:rsidP="005B51F0">
      <w:pPr>
        <w:pStyle w:val="ListBullet2"/>
      </w:pPr>
      <w:r w:rsidRPr="005B51F0">
        <w:t>fee structures and charging methodologies</w:t>
      </w:r>
    </w:p>
    <w:p w:rsidR="00000000" w:rsidRPr="005B51F0" w:rsidP="005B51F0">
      <w:pPr>
        <w:pStyle w:val="Heading3"/>
      </w:pPr>
      <w:r w:rsidRPr="005B51F0">
        <w:t>Specialist knowledge</w:t>
      </w:r>
    </w:p>
    <w:p w:rsidR="00000000" w:rsidRPr="005B51F0" w:rsidP="005B51F0">
      <w:pPr>
        <w:pStyle w:val="ListBullet"/>
      </w:pPr>
      <w:r w:rsidRPr="005B51F0">
        <w:t>key characteristics of managed investment products, including:</w:t>
      </w:r>
    </w:p>
    <w:p w:rsidR="00000000" w:rsidRPr="005B51F0" w:rsidP="005B51F0">
      <w:pPr>
        <w:pStyle w:val="ListBullet2"/>
      </w:pPr>
      <w:r w:rsidRPr="005B51F0">
        <w:t>concept of managed investments</w:t>
      </w:r>
    </w:p>
    <w:p w:rsidR="00000000" w:rsidRPr="005B51F0" w:rsidP="005B51F0">
      <w:pPr>
        <w:pStyle w:val="ListBullet2"/>
      </w:pPr>
      <w:r w:rsidRPr="005B51F0">
        <w:t>fee structures and charging methodologies</w:t>
      </w:r>
    </w:p>
    <w:p w:rsidR="00000000" w:rsidRPr="005B51F0" w:rsidP="005B51F0">
      <w:pPr>
        <w:pStyle w:val="ListBullet2"/>
      </w:pPr>
      <w:r w:rsidRPr="005B51F0">
        <w:t>types of</w:t>
      </w:r>
      <w:r w:rsidRPr="005B51F0">
        <w:t xml:space="preserve"> risks associated with managed investment products</w:t>
      </w:r>
    </w:p>
    <w:p w:rsidR="00000000" w:rsidRPr="005B51F0" w:rsidP="005B51F0">
      <w:pPr>
        <w:pStyle w:val="ListBullet"/>
      </w:pPr>
      <w:r w:rsidRPr="005B51F0">
        <w:t>range of products offered under managed investments schemes, including the following specific products:</w:t>
      </w:r>
    </w:p>
    <w:p w:rsidR="00000000" w:rsidRPr="005B51F0" w:rsidP="005B51F0">
      <w:pPr>
        <w:pStyle w:val="ListBullet2"/>
      </w:pPr>
      <w:r w:rsidRPr="005B51F0">
        <w:t>property trusts, real estate investment strategies, valuation techniques, property management</w:t>
      </w:r>
    </w:p>
    <w:p w:rsidR="00000000" w:rsidRPr="005B51F0" w:rsidP="005B51F0">
      <w:pPr>
        <w:pStyle w:val="ListBullet2"/>
      </w:pPr>
      <w:r w:rsidRPr="005B51F0">
        <w:t>equity trusts, fixed interest trusts</w:t>
      </w:r>
    </w:p>
    <w:p w:rsidR="00000000" w:rsidRPr="005B51F0" w:rsidP="005B51F0">
      <w:pPr>
        <w:pStyle w:val="ListBullet2"/>
      </w:pPr>
      <w:r w:rsidRPr="005B51F0">
        <w:t>serviced strata schemes</w:t>
      </w:r>
    </w:p>
    <w:p w:rsidR="00000000" w:rsidRPr="005B51F0" w:rsidP="005B51F0">
      <w:pPr>
        <w:pStyle w:val="ListBullet2"/>
      </w:pPr>
      <w:r w:rsidRPr="005B51F0">
        <w:t>primary production schemes</w:t>
      </w:r>
    </w:p>
    <w:p w:rsidR="00000000" w:rsidRPr="005B51F0" w:rsidP="005B51F0">
      <w:pPr>
        <w:pStyle w:val="ListBullet2"/>
      </w:pPr>
      <w:r w:rsidRPr="005B51F0">
        <w:t>film schemes</w:t>
      </w:r>
    </w:p>
    <w:p w:rsidR="00000000" w:rsidRPr="005B51F0" w:rsidP="005B51F0">
      <w:pPr>
        <w:pStyle w:val="ListBullet2"/>
      </w:pPr>
      <w:r w:rsidRPr="005B51F0">
        <w:t>time-sharing schemes</w:t>
      </w:r>
    </w:p>
    <w:p w:rsidR="00000000" w:rsidRPr="005B51F0" w:rsidP="005B51F0">
      <w:pPr>
        <w:pStyle w:val="ListBullet"/>
      </w:pPr>
      <w:r w:rsidRPr="005B51F0">
        <w:t>taxation issues in relation to managed investment products and markets in which they operate</w:t>
      </w:r>
    </w:p>
    <w:p w:rsidR="00000000" w:rsidRPr="005B51F0" w:rsidP="005B51F0">
      <w:pPr>
        <w:pStyle w:val="ListBullet"/>
      </w:pPr>
      <w:r w:rsidRPr="005B51F0">
        <w:t>key aspects of the legal environment, in</w:t>
      </w:r>
      <w:r w:rsidRPr="005B51F0">
        <w:t>cluding disclosure and compliance covering:</w:t>
      </w:r>
    </w:p>
    <w:p w:rsidR="00000000" w:rsidRPr="005B51F0" w:rsidP="005B51F0">
      <w:pPr>
        <w:pStyle w:val="ListBullet2"/>
      </w:pPr>
      <w:r w:rsidRPr="005B51F0">
        <w:t>role of representative and adviser</w:t>
      </w:r>
    </w:p>
    <w:p w:rsidR="00000000" w:rsidRPr="005B51F0" w:rsidP="005B51F0">
      <w:pPr>
        <w:pStyle w:val="ListBullet2"/>
      </w:pPr>
      <w:r w:rsidRPr="005B51F0">
        <w:t>legal principles relating to key Acts relevant to performance evidence</w:t>
      </w:r>
    </w:p>
    <w:p w:rsidR="00000000" w:rsidRPr="005B51F0" w:rsidP="005B51F0">
      <w:pPr>
        <w:pStyle w:val="ListBullet2"/>
      </w:pPr>
      <w:r w:rsidRPr="005B51F0">
        <w:t>relationship between ethics and regulatory requirements, including good faith, utmost good faith, full di</w:t>
      </w:r>
      <w:r w:rsidRPr="005B51F0">
        <w:t>sclosure of remuneration and fees, and any other conflicts of interest that may influence adviser’s recommendation</w:t>
      </w:r>
    </w:p>
    <w:p w:rsidR="00000000" w:rsidRPr="005B51F0" w:rsidP="005B51F0">
      <w:pPr>
        <w:pStyle w:val="ListBullet2"/>
      </w:pPr>
      <w:r w:rsidRPr="005B51F0">
        <w:t>relevant industry standards and codes of conduct</w:t>
      </w:r>
    </w:p>
    <w:p w:rsidR="00000000" w:rsidRPr="005B51F0" w:rsidP="005B51F0">
      <w:pPr>
        <w:pStyle w:val="ListBullet2"/>
      </w:pPr>
      <w:r w:rsidRPr="005B51F0">
        <w:t>regulators’ guidelines relevant to the provision of advice in managed investments</w:t>
      </w:r>
    </w:p>
    <w:p w:rsidR="00000000" w:rsidRPr="005B51F0" w:rsidP="005B51F0">
      <w:pPr>
        <w:pStyle w:val="ListBullet2"/>
      </w:pPr>
      <w:r w:rsidRPr="005B51F0">
        <w:t>resolution</w:t>
      </w:r>
      <w:r w:rsidRPr="005B51F0">
        <w:t xml:space="preserve"> procedures for internal and external complaints</w:t>
      </w:r>
    </w:p>
    <w:p w:rsidR="00000000" w:rsidRPr="005B51F0" w:rsidP="005B51F0">
      <w:pPr>
        <w:pStyle w:val="ListBullet"/>
      </w:pPr>
      <w:r w:rsidRPr="005B51F0">
        <w:t>key theories of investment, portfolio management and management of investment and risk, including:</w:t>
      </w:r>
    </w:p>
    <w:p w:rsidR="00000000" w:rsidRPr="005B51F0" w:rsidP="005B51F0">
      <w:pPr>
        <w:pStyle w:val="ListBullet2"/>
      </w:pPr>
      <w:r w:rsidRPr="005B51F0">
        <w:t>investment concepts</w:t>
      </w:r>
    </w:p>
    <w:p w:rsidR="00000000" w:rsidRPr="005B51F0" w:rsidP="005B51F0">
      <w:pPr>
        <w:pStyle w:val="ListBullet2"/>
      </w:pPr>
      <w:r w:rsidRPr="005B51F0">
        <w:t>investment strategies</w:t>
      </w:r>
    </w:p>
    <w:p w:rsidR="00000000" w:rsidRPr="005B51F0" w:rsidP="005B51F0">
      <w:pPr>
        <w:pStyle w:val="ListBullet2"/>
      </w:pPr>
      <w:r w:rsidRPr="005B51F0">
        <w:t>identification of types of risk</w:t>
      </w:r>
    </w:p>
    <w:p w:rsidR="00000000" w:rsidRPr="005B51F0" w:rsidP="005B51F0">
      <w:pPr>
        <w:pStyle w:val="ListBullet2"/>
      </w:pPr>
      <w:r w:rsidRPr="005B51F0">
        <w:t>client risk profile.</w:t>
      </w:r>
    </w:p>
    <w:p w:rsidR="00000000" w:rsidRPr="005B51F0" w:rsidP="005B51F0">
      <w:pPr>
        <w:pStyle w:val="AllowPageBreak"/>
      </w:pPr>
    </w:p>
    <w:p w:rsidR="00000000" w:rsidRPr="005B51F0" w:rsidP="005B51F0">
      <w:pPr>
        <w:pStyle w:val="Heading1"/>
      </w:pPr>
      <w:bookmarkStart w:id="4" w:name="O_1235348"/>
      <w:bookmarkEnd w:id="4"/>
      <w:r w:rsidRPr="005B51F0">
        <w:t>Assessment Conditions</w:t>
      </w:r>
    </w:p>
    <w:p w:rsidR="00000000" w:rsidRPr="005B51F0" w:rsidP="009E36E6">
      <w:pPr>
        <w:pStyle w:val="BodyText"/>
      </w:pPr>
      <w:r w:rsidRPr="005B51F0">
        <w:t>Skills in this unit must be demonstrated in a workplace or simulated environment where the conditions are typical of those in a working environment in this industry.</w:t>
      </w:r>
    </w:p>
    <w:p w:rsidR="00000000" w:rsidRPr="005B51F0" w:rsidP="009E36E6">
      <w:pPr>
        <w:pStyle w:val="BodyText"/>
      </w:pPr>
      <w:r w:rsidRPr="005B51F0">
        <w:t>This includes access to:</w:t>
      </w:r>
    </w:p>
    <w:p w:rsidR="00000000" w:rsidRPr="005B51F0" w:rsidP="005B51F0">
      <w:pPr>
        <w:pStyle w:val="ListBullet"/>
      </w:pPr>
      <w:r w:rsidRPr="005B51F0">
        <w:t>office equipment, technology, sof</w:t>
      </w:r>
      <w:r w:rsidRPr="005B51F0">
        <w:t>tware and consumables used to provide wholesale advice in managed investments</w:t>
      </w:r>
    </w:p>
    <w:p w:rsidR="00000000" w:rsidRPr="005B51F0" w:rsidP="005B51F0">
      <w:pPr>
        <w:pStyle w:val="ListBullet"/>
      </w:pPr>
      <w:r w:rsidRPr="005B51F0">
        <w:t>clients requiring wholesale advice in managed investments</w:t>
      </w:r>
    </w:p>
    <w:p w:rsidR="00000000" w:rsidRPr="005B51F0" w:rsidP="005B51F0">
      <w:pPr>
        <w:pStyle w:val="ListBullet"/>
      </w:pPr>
      <w:r w:rsidRPr="005B51F0">
        <w:t>managed investment product information.</w:t>
      </w:r>
    </w:p>
    <w:p w:rsidR="00000000" w:rsidRPr="005B51F0" w:rsidP="005B51F0">
      <w:pPr>
        <w:pStyle w:val="BodyText"/>
      </w:pPr>
    </w:p>
    <w:p w:rsidR="00000000" w:rsidRPr="005B51F0" w:rsidP="009E36E6">
      <w:pPr>
        <w:pStyle w:val="BodyText"/>
      </w:pPr>
      <w:r w:rsidRPr="005B51F0">
        <w:t>Assessors of this unit must satisfy the requirements for assessors in applicabl</w:t>
      </w:r>
      <w:r w:rsidRPr="005B51F0">
        <w:t>e vocational education and training legislation, frameworks and/or standards.</w:t>
      </w:r>
    </w:p>
    <w:p w:rsidR="00000000" w:rsidRPr="005B51F0" w:rsidP="005B51F0">
      <w:pPr>
        <w:pStyle w:val="Heading1"/>
      </w:pPr>
      <w:bookmarkStart w:id="5" w:name="O_1235351"/>
      <w:bookmarkEnd w:id="5"/>
      <w:r w:rsidRPr="005B51F0">
        <w:t>Links</w:t>
      </w:r>
    </w:p>
    <w:p w:rsidR="00000000" w:rsidRPr="005B51F0" w:rsidP="009E36E6">
      <w:pPr>
        <w:pStyle w:val="BodyText"/>
      </w:pPr>
      <w:r w:rsidRPr="005B51F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843B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B51F0" w:rsidP="005B51F0"/>
    <w:sectPr w:rsidSect="005B51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1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1F0" w:rsidRPr="009E36E6" w:rsidP="009E36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1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6E6" w:rsidP="005B51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36E6" w:rsidP="005B51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36E6" w:rsidP="005B51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1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6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51F0" w:rsidRPr="009E36E6" w:rsidP="009E36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1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6E6" w:rsidRPr="002D2AF8" w:rsidP="005B51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FNSASICT513 Provide wholesale advice in managed investments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E36E6" w:rsidP="005B51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4035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463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88CB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1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1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1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1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1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1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1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1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1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1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1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1F0"/>
  </w:style>
  <w:style w:type="character" w:customStyle="1" w:styleId="Heading1Char">
    <w:name w:val="Heading 1 Char"/>
    <w:basedOn w:val="DefaultParagraphFont"/>
    <w:link w:val="Heading1"/>
    <w:rsid w:val="005B51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5B51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5B51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1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51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51F0"/>
    <w:rPr>
      <w:b/>
      <w:spacing w:val="0"/>
    </w:rPr>
  </w:style>
  <w:style w:type="paragraph" w:styleId="ListBullet2">
    <w:name w:val="List Bullet 2"/>
    <w:basedOn w:val="List2"/>
    <w:rsid w:val="005B51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51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51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51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5B51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1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1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1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1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1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1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1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1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1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1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1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51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51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51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1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1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51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1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1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1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1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1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1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1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1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51F0"/>
    <w:rPr>
      <w:i/>
    </w:rPr>
  </w:style>
  <w:style w:type="paragraph" w:styleId="Caption">
    <w:name w:val="caption"/>
    <w:basedOn w:val="BodyText"/>
    <w:next w:val="Normal"/>
    <w:qFormat/>
    <w:rsid w:val="005B51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1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1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1F0"/>
  </w:style>
  <w:style w:type="paragraph" w:styleId="TableofFigures">
    <w:name w:val="table of figures"/>
    <w:basedOn w:val="Normal"/>
    <w:next w:val="Normal"/>
    <w:semiHidden/>
    <w:rsid w:val="005B51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1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51F0"/>
    <w:rPr>
      <w:rFonts w:ascii="Wingdings" w:hAnsi="Wingdings"/>
    </w:rPr>
  </w:style>
  <w:style w:type="paragraph" w:customStyle="1" w:styleId="TableHeading">
    <w:name w:val="Table Heading"/>
    <w:basedOn w:val="HeadingBase"/>
    <w:rsid w:val="005B51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51F0"/>
    <w:rPr>
      <w:color w:val="0033CC"/>
      <w:u w:val="none"/>
    </w:rPr>
  </w:style>
  <w:style w:type="paragraph" w:customStyle="1" w:styleId="BodyTextRight">
    <w:name w:val="Body Text Right"/>
    <w:basedOn w:val="BodyText"/>
    <w:rsid w:val="005B51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1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1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1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1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1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1F0"/>
    <w:rPr>
      <w:sz w:val="32"/>
    </w:rPr>
  </w:style>
  <w:style w:type="paragraph" w:customStyle="1" w:styleId="HeadingProcedure">
    <w:name w:val="Heading Procedure"/>
    <w:basedOn w:val="HeadingBase"/>
    <w:next w:val="Normal"/>
    <w:rsid w:val="005B51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51F0"/>
    <w:pPr>
      <w:spacing w:before="60" w:after="60"/>
    </w:pPr>
  </w:style>
  <w:style w:type="paragraph" w:styleId="ListContinue">
    <w:name w:val="List Continue"/>
    <w:basedOn w:val="List"/>
    <w:rsid w:val="005B51F0"/>
    <w:pPr>
      <w:ind w:firstLine="0"/>
    </w:pPr>
  </w:style>
  <w:style w:type="paragraph" w:customStyle="1" w:styleId="ListNote">
    <w:name w:val="List Note"/>
    <w:basedOn w:val="List"/>
    <w:rsid w:val="005B51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1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1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1F0"/>
    <w:rPr>
      <w:rFonts w:ascii="Courier New" w:hAnsi="Courier New"/>
    </w:rPr>
  </w:style>
  <w:style w:type="paragraph" w:customStyle="1" w:styleId="NoteBullet">
    <w:name w:val="Note Bullet"/>
    <w:basedOn w:val="Note"/>
    <w:rsid w:val="005B51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1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1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1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1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51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1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1F0"/>
    <w:rPr>
      <w:b/>
      <w:smallCaps/>
    </w:rPr>
  </w:style>
  <w:style w:type="paragraph" w:customStyle="1" w:styleId="TableListNumber">
    <w:name w:val="Table List Number"/>
    <w:basedOn w:val="ListNumber"/>
    <w:rsid w:val="005B51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1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1F0"/>
    <w:pPr>
      <w:numPr>
        <w:numId w:val="9"/>
      </w:numPr>
    </w:pPr>
  </w:style>
  <w:style w:type="paragraph" w:customStyle="1" w:styleId="ListAlpha2">
    <w:name w:val="List Alpha 2"/>
    <w:basedOn w:val="List2"/>
    <w:rsid w:val="005B51F0"/>
    <w:pPr>
      <w:numPr>
        <w:numId w:val="8"/>
      </w:numPr>
    </w:pPr>
  </w:style>
  <w:style w:type="paragraph" w:styleId="List2">
    <w:name w:val="List 2"/>
    <w:basedOn w:val="BodyText"/>
    <w:rsid w:val="005B51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1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1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1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51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51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51F0"/>
    <w:pPr>
      <w:numPr>
        <w:numId w:val="4"/>
      </w:numPr>
    </w:pPr>
  </w:style>
  <w:style w:type="paragraph" w:styleId="ListContinue2">
    <w:name w:val="List Continue 2"/>
    <w:basedOn w:val="List2"/>
    <w:rsid w:val="005B51F0"/>
    <w:pPr>
      <w:ind w:firstLine="0"/>
    </w:pPr>
  </w:style>
  <w:style w:type="paragraph" w:styleId="ListContinue3">
    <w:name w:val="List Continue 3"/>
    <w:basedOn w:val="List3"/>
    <w:rsid w:val="005B51F0"/>
    <w:pPr>
      <w:ind w:left="1021" w:firstLine="0"/>
    </w:pPr>
  </w:style>
  <w:style w:type="paragraph" w:styleId="ListContinue4">
    <w:name w:val="List Continue 4"/>
    <w:basedOn w:val="List4"/>
    <w:rsid w:val="005B51F0"/>
    <w:pPr>
      <w:ind w:firstLine="0"/>
    </w:pPr>
  </w:style>
  <w:style w:type="paragraph" w:styleId="ListContinue5">
    <w:name w:val="List Continue 5"/>
    <w:basedOn w:val="List5"/>
    <w:rsid w:val="005B51F0"/>
    <w:pPr>
      <w:ind w:firstLine="0"/>
    </w:pPr>
  </w:style>
  <w:style w:type="paragraph" w:styleId="ListNumber3">
    <w:name w:val="List Number 3"/>
    <w:basedOn w:val="List3"/>
    <w:rsid w:val="005B51F0"/>
    <w:pPr>
      <w:numPr>
        <w:numId w:val="5"/>
      </w:numPr>
    </w:pPr>
  </w:style>
  <w:style w:type="paragraph" w:styleId="ListNumber4">
    <w:name w:val="List Number 4"/>
    <w:basedOn w:val="List4"/>
    <w:rsid w:val="005B51F0"/>
    <w:pPr>
      <w:numPr>
        <w:numId w:val="6"/>
      </w:numPr>
    </w:pPr>
  </w:style>
  <w:style w:type="paragraph" w:styleId="ListNumber5">
    <w:name w:val="List Number 5"/>
    <w:basedOn w:val="List5"/>
    <w:rsid w:val="005B51F0"/>
    <w:pPr>
      <w:numPr>
        <w:numId w:val="7"/>
      </w:numPr>
    </w:pPr>
  </w:style>
  <w:style w:type="paragraph" w:styleId="BlockText">
    <w:name w:val="Block Text"/>
    <w:basedOn w:val="Normal"/>
    <w:rsid w:val="005B51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1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1F0"/>
    <w:rPr>
      <w:sz w:val="16"/>
      <w:vertAlign w:val="superscript"/>
    </w:rPr>
  </w:style>
  <w:style w:type="character" w:customStyle="1" w:styleId="Symbols">
    <w:name w:val="Symbols"/>
    <w:basedOn w:val="DefaultParagraphFont"/>
    <w:rsid w:val="005B51F0"/>
    <w:rPr>
      <w:rFonts w:ascii="Symbol" w:hAnsi="Symbol"/>
    </w:rPr>
  </w:style>
  <w:style w:type="character" w:customStyle="1" w:styleId="MenuOptions">
    <w:name w:val="Menu Options"/>
    <w:basedOn w:val="DefaultParagraphFont"/>
    <w:rsid w:val="005B51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1F0"/>
    <w:rPr>
      <w:b/>
    </w:rPr>
  </w:style>
  <w:style w:type="character" w:customStyle="1" w:styleId="Underlined">
    <w:name w:val="Underlined"/>
    <w:basedOn w:val="DefaultParagraphFont"/>
    <w:rsid w:val="005B51F0"/>
    <w:rPr>
      <w:u w:val="single"/>
    </w:rPr>
  </w:style>
  <w:style w:type="paragraph" w:customStyle="1" w:styleId="TableBodyTextRight">
    <w:name w:val="Table Body Text Right"/>
    <w:basedOn w:val="TableBodyText"/>
    <w:rsid w:val="005B51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1F0"/>
    <w:rPr>
      <w:sz w:val="18"/>
    </w:rPr>
  </w:style>
  <w:style w:type="paragraph" w:customStyle="1" w:styleId="BodySmallRight">
    <w:name w:val="Body Small Right"/>
    <w:basedOn w:val="BodyTextRight"/>
    <w:rsid w:val="005B51F0"/>
    <w:rPr>
      <w:sz w:val="18"/>
      <w:szCs w:val="18"/>
    </w:rPr>
  </w:style>
  <w:style w:type="paragraph" w:customStyle="1" w:styleId="MarginEdition">
    <w:name w:val="Margin Edition"/>
    <w:basedOn w:val="MarginNote"/>
    <w:rsid w:val="005B51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1F0"/>
    <w:rPr>
      <w:sz w:val="2"/>
      <w:szCs w:val="2"/>
    </w:rPr>
  </w:style>
  <w:style w:type="character" w:customStyle="1" w:styleId="Small">
    <w:name w:val="Small"/>
    <w:basedOn w:val="DefaultParagraphFont"/>
    <w:rsid w:val="005B51F0"/>
    <w:rPr>
      <w:sz w:val="16"/>
    </w:rPr>
  </w:style>
  <w:style w:type="paragraph" w:customStyle="1" w:styleId="WideTable">
    <w:name w:val="Wide Table"/>
    <w:basedOn w:val="Normal"/>
    <w:rsid w:val="005B51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1F0"/>
  </w:style>
  <w:style w:type="paragraph" w:styleId="Quote">
    <w:name w:val="Quote"/>
    <w:basedOn w:val="Heading1"/>
    <w:link w:val="QuoteChar"/>
    <w:qFormat/>
    <w:rsid w:val="005B51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1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1F0"/>
    <w:pPr>
      <w:pageBreakBefore/>
    </w:pPr>
  </w:style>
  <w:style w:type="paragraph" w:customStyle="1" w:styleId="Border">
    <w:name w:val="Border"/>
    <w:basedOn w:val="Normal"/>
    <w:qFormat/>
    <w:rsid w:val="005B51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1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1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1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1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1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1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1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1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1F0"/>
    <w:rPr>
      <w:u w:val="single"/>
    </w:rPr>
  </w:style>
  <w:style w:type="character" w:customStyle="1" w:styleId="BoldandItalics">
    <w:name w:val="Bold and Italics"/>
    <w:qFormat/>
    <w:rsid w:val="005B51F0"/>
    <w:rPr>
      <w:b/>
      <w:i/>
      <w:u w:val="none"/>
    </w:rPr>
  </w:style>
  <w:style w:type="paragraph" w:styleId="BalloonText">
    <w:name w:val="Balloon Text"/>
    <w:basedOn w:val="Normal"/>
    <w:link w:val="BalloonTextChar"/>
    <w:rsid w:val="005B51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1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1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1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1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1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51F0"/>
    <w:pPr>
      <w:spacing w:before="0" w:after="0"/>
    </w:pPr>
  </w:style>
  <w:style w:type="paragraph" w:customStyle="1" w:styleId="BodyTextBold">
    <w:name w:val="Body Text Bold"/>
    <w:basedOn w:val="BodyText"/>
    <w:qFormat/>
    <w:rsid w:val="005B51F0"/>
    <w:rPr>
      <w:b/>
    </w:rPr>
  </w:style>
  <w:style w:type="character" w:styleId="Hyperlink">
    <w:name w:val="Hyperlink"/>
    <w:basedOn w:val="DefaultParagraphFont"/>
    <w:uiPriority w:val="99"/>
    <w:unhideWhenUsed/>
    <w:rsid w:val="009E36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3629</Characters>
  <Application>Microsoft Office Word</Application>
  <DocSecurity>0</DocSecurity>
  <Lines>100</Lines>
  <Paragraphs>78</Paragraphs>
  <ScaleCrop>false</ScaleCrop>
  <Company>Author-it Software Corporation Ltd.</Company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FNSASICT513 Provide wholesale advice in managed investments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