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E7D" w:rsidP="00131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FNSASICT503 Provide advice in managed investments</w:t>
      </w:r>
      <w:r>
        <w:fldChar w:fldCharType="end"/>
      </w:r>
    </w:p>
    <w:p w:rsidR="00131E7D" w:rsidP="00131E7D">
      <w:pPr>
        <w:pStyle w:val="Version"/>
        <w:sectPr w:rsidSect="00364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257" w:rsidP="00364257">
      <w:pPr>
        <w:pStyle w:val="SuperHeading"/>
      </w:pPr>
      <w:r w:rsidRPr="00364257">
        <w:t>Assessment Requirements for FNSASICT503 Provide advice in managed investments</w:t>
      </w:r>
    </w:p>
    <w:p w:rsidR="00000000" w:rsidRPr="00364257" w:rsidP="00364257">
      <w:pPr>
        <w:pStyle w:val="Heading1"/>
      </w:pPr>
      <w:bookmarkStart w:id="1" w:name="O_672437"/>
      <w:bookmarkEnd w:id="1"/>
      <w:r w:rsidRPr="003642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4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257" w:rsidP="00364257">
            <w:pPr>
              <w:pStyle w:val="BodyText"/>
            </w:pPr>
            <w:r w:rsidRPr="003642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257">
            <w:pPr>
              <w:pStyle w:val="BodyText"/>
              <w:rPr>
                <w:lang w:val="en-NZ"/>
              </w:rPr>
            </w:pPr>
            <w:r w:rsidRPr="00364257">
              <w:rPr>
                <w:rStyle w:val="SpecialBold"/>
              </w:rPr>
              <w:t>Comments</w:t>
            </w:r>
          </w:p>
        </w:tc>
      </w:tr>
      <w:tr w:rsidTr="00364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257">
            <w:pPr>
              <w:pStyle w:val="BodyText"/>
              <w:rPr>
                <w:lang w:val="en-NZ"/>
              </w:rPr>
            </w:pPr>
            <w:r w:rsidRPr="003642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257" w:rsidP="00364257">
            <w:pPr>
              <w:pStyle w:val="BodyText"/>
            </w:pPr>
            <w:r w:rsidRPr="00364257">
              <w:t>This version first released with FNS Financial Services Training Package Version 1.0.</w:t>
            </w:r>
          </w:p>
        </w:tc>
      </w:tr>
    </w:tbl>
    <w:p w:rsidR="00000000" w:rsidRPr="00364257" w:rsidP="00364257">
      <w:pPr>
        <w:pStyle w:val="BodyText"/>
      </w:pPr>
    </w:p>
    <w:p w:rsidR="00000000" w:rsidRPr="00364257" w:rsidP="00364257">
      <w:pPr>
        <w:pStyle w:val="AllowPageBreak"/>
      </w:pPr>
    </w:p>
    <w:p w:rsidR="00000000" w:rsidRPr="00364257" w:rsidP="00364257">
      <w:pPr>
        <w:pStyle w:val="Heading1"/>
      </w:pPr>
      <w:bookmarkStart w:id="2" w:name="O_672438"/>
      <w:bookmarkEnd w:id="2"/>
      <w:r w:rsidRPr="00364257">
        <w:t>Performance Evidence</w:t>
      </w:r>
    </w:p>
    <w:p w:rsidR="00000000" w:rsidRPr="00364257" w:rsidP="00131E7D">
      <w:pPr>
        <w:pStyle w:val="BodyText"/>
      </w:pPr>
      <w:r w:rsidRPr="00364257">
        <w:t>Evidence of the ability to:</w:t>
      </w:r>
    </w:p>
    <w:p w:rsidR="00000000" w:rsidRPr="00364257" w:rsidP="00364257">
      <w:pPr>
        <w:pStyle w:val="ListBullet"/>
      </w:pPr>
      <w:r w:rsidRPr="00364257">
        <w:t>interpret and comply with industry regulations and codes of practice</w:t>
      </w:r>
    </w:p>
    <w:p w:rsidR="00000000" w:rsidRPr="00364257" w:rsidP="00364257">
      <w:pPr>
        <w:pStyle w:val="ListBullet"/>
      </w:pPr>
      <w:r w:rsidRPr="00364257">
        <w:t>analyse client’s needs, financial situation and risk profile, and prepare appropriate strategies or solutions relating to managed investm</w:t>
      </w:r>
      <w:r w:rsidRPr="00364257">
        <w:t>ents</w:t>
      </w:r>
    </w:p>
    <w:p w:rsidR="00000000" w:rsidRPr="00364257" w:rsidP="00364257">
      <w:pPr>
        <w:pStyle w:val="ListBullet"/>
      </w:pPr>
      <w:r w:rsidRPr="00364257">
        <w:t>provide accurate and ethical advice on managed investment products and services</w:t>
      </w:r>
    </w:p>
    <w:p w:rsidR="00000000" w:rsidRPr="00364257" w:rsidP="00364257">
      <w:pPr>
        <w:pStyle w:val="ListBullet"/>
      </w:pPr>
      <w:r w:rsidRPr="00364257">
        <w:t>implement the plan, policy or transaction once agreed by the client and complete documentation accurately.</w:t>
      </w:r>
    </w:p>
    <w:p w:rsidR="00000000" w:rsidRPr="00364257" w:rsidP="00364257">
      <w:pPr>
        <w:pStyle w:val="BodyText"/>
      </w:pPr>
    </w:p>
    <w:p w:rsidR="00000000" w:rsidRPr="00364257" w:rsidP="00131E7D">
      <w:pPr>
        <w:pStyle w:val="BodyText"/>
      </w:pPr>
      <w:r w:rsidRPr="00364257">
        <w:t>Note: If a specific volume or frequency is not stated, then evidence must be provided at least once.</w:t>
      </w:r>
    </w:p>
    <w:p w:rsidR="00000000" w:rsidRPr="00364257" w:rsidP="00364257">
      <w:pPr>
        <w:pStyle w:val="Heading1"/>
      </w:pPr>
      <w:bookmarkStart w:id="3" w:name="O_672439"/>
      <w:bookmarkEnd w:id="3"/>
      <w:r w:rsidRPr="00364257">
        <w:t>Knowledge Evidence</w:t>
      </w:r>
    </w:p>
    <w:p w:rsidR="00000000" w:rsidRPr="00364257" w:rsidP="00131E7D">
      <w:pPr>
        <w:pStyle w:val="BodyText"/>
      </w:pPr>
      <w:r w:rsidRPr="00364257">
        <w:t xml:space="preserve">To complete the unit requirements safely and effectively, the individual must satisfy generic and specialist knowledge </w:t>
      </w:r>
      <w:r w:rsidRPr="00364257">
        <w:t>requirements relevant to the products and activities in which advice is given.</w:t>
      </w:r>
    </w:p>
    <w:p w:rsidR="00000000" w:rsidRPr="00364257" w:rsidP="00131E7D">
      <w:pPr>
        <w:pStyle w:val="Heading3"/>
      </w:pPr>
      <w:r w:rsidRPr="00364257">
        <w:rPr>
          <w:rStyle w:val="SpecialBold"/>
        </w:rPr>
        <w:t xml:space="preserve">Generic knowledge </w:t>
      </w:r>
    </w:p>
    <w:p w:rsidR="00000000" w:rsidRPr="00364257" w:rsidP="00364257">
      <w:pPr>
        <w:pStyle w:val="ListBullet"/>
      </w:pPr>
      <w:r w:rsidRPr="00364257">
        <w:t>analyse and provide an overview of the economic environment including:</w:t>
      </w:r>
    </w:p>
    <w:p w:rsidR="00000000" w:rsidRPr="00364257" w:rsidP="00364257">
      <w:pPr>
        <w:pStyle w:val="ListBullet2"/>
      </w:pPr>
      <w:r w:rsidRPr="00364257">
        <w:t>characteristics and impact of economic and business cycles</w:t>
      </w:r>
    </w:p>
    <w:p w:rsidR="00000000" w:rsidRPr="00364257" w:rsidP="00364257">
      <w:pPr>
        <w:pStyle w:val="ListBullet2"/>
      </w:pPr>
      <w:r w:rsidRPr="00364257">
        <w:t>interest rates and exchan</w:t>
      </w:r>
      <w:r w:rsidRPr="00364257">
        <w:t>ge rates</w:t>
      </w:r>
    </w:p>
    <w:p w:rsidR="00000000" w:rsidRPr="00364257" w:rsidP="00364257">
      <w:pPr>
        <w:pStyle w:val="ListBullet2"/>
      </w:pPr>
      <w:r w:rsidRPr="00364257">
        <w:t>inflation</w:t>
      </w:r>
    </w:p>
    <w:p w:rsidR="00000000" w:rsidRPr="00364257" w:rsidP="00364257">
      <w:pPr>
        <w:pStyle w:val="ListBullet2"/>
      </w:pPr>
      <w:r w:rsidRPr="00364257">
        <w:t>government monetary and fiscal policy</w:t>
      </w:r>
    </w:p>
    <w:p w:rsidR="00000000" w:rsidRPr="00364257" w:rsidP="00364257">
      <w:pPr>
        <w:pStyle w:val="ListBullet"/>
      </w:pPr>
      <w:r w:rsidRPr="00364257">
        <w:t>analyse and provide a detailed explanation of the operation of financial markets including:</w:t>
      </w:r>
    </w:p>
    <w:p w:rsidR="00000000" w:rsidRPr="00364257" w:rsidP="00364257">
      <w:pPr>
        <w:pStyle w:val="ListBullet2"/>
      </w:pPr>
      <w:r w:rsidRPr="00364257">
        <w:t>roles played by intermediaries and issuers</w:t>
      </w:r>
    </w:p>
    <w:p w:rsidR="00000000" w:rsidRPr="00364257" w:rsidP="00364257">
      <w:pPr>
        <w:pStyle w:val="ListBullet2"/>
      </w:pPr>
      <w:r w:rsidRPr="00364257">
        <w:t>structure and interrelationships within the financial markets</w:t>
      </w:r>
    </w:p>
    <w:p w:rsidR="00000000" w:rsidRPr="00364257" w:rsidP="00364257">
      <w:pPr>
        <w:pStyle w:val="ListBullet2"/>
      </w:pPr>
      <w:r w:rsidRPr="00364257">
        <w:t xml:space="preserve">interrelationship between industry sectors </w:t>
      </w:r>
    </w:p>
    <w:p w:rsidR="00000000" w:rsidRPr="00364257" w:rsidP="00364257">
      <w:pPr>
        <w:pStyle w:val="ListBullet"/>
      </w:pPr>
      <w:r w:rsidRPr="00364257">
        <w:t>outline financial products, including:</w:t>
      </w:r>
    </w:p>
    <w:p w:rsidR="00000000" w:rsidRPr="00364257" w:rsidP="00364257">
      <w:pPr>
        <w:pStyle w:val="ListBullet2"/>
      </w:pPr>
      <w:r w:rsidRPr="00364257">
        <w:t>concept of a financial product – general definition, and specific inclusions and exclusions</w:t>
      </w:r>
    </w:p>
    <w:p w:rsidR="00000000" w:rsidRPr="00364257" w:rsidP="00364257">
      <w:pPr>
        <w:pStyle w:val="ListBullet2"/>
      </w:pPr>
      <w:r w:rsidRPr="00364257">
        <w:t>types of financial investment products</w:t>
      </w:r>
    </w:p>
    <w:p w:rsidR="00000000" w:rsidRPr="00364257" w:rsidP="00364257">
      <w:pPr>
        <w:pStyle w:val="ListBullet2"/>
      </w:pPr>
      <w:r w:rsidRPr="00364257">
        <w:t>types of financial risk products.</w:t>
      </w:r>
    </w:p>
    <w:p w:rsidR="00000000" w:rsidRPr="00364257" w:rsidP="00364257">
      <w:pPr>
        <w:pStyle w:val="BodyText"/>
      </w:pPr>
    </w:p>
    <w:p w:rsidR="00000000" w:rsidRPr="00364257" w:rsidP="00131E7D">
      <w:pPr>
        <w:pStyle w:val="Heading3"/>
      </w:pPr>
      <w:r w:rsidRPr="00364257">
        <w:rPr>
          <w:rStyle w:val="SpecialBold"/>
        </w:rPr>
        <w:t>Speci</w:t>
      </w:r>
      <w:r w:rsidRPr="00364257">
        <w:rPr>
          <w:rStyle w:val="SpecialBold"/>
        </w:rPr>
        <w:t>alist advice</w:t>
      </w:r>
    </w:p>
    <w:p w:rsidR="00000000" w:rsidRPr="00364257" w:rsidP="00364257">
      <w:pPr>
        <w:pStyle w:val="ListBullet"/>
      </w:pPr>
      <w:r w:rsidRPr="00364257">
        <w:t>provide a detailed explanation of managed investment products including:</w:t>
      </w:r>
    </w:p>
    <w:p w:rsidR="00000000" w:rsidRPr="00364257" w:rsidP="00364257">
      <w:pPr>
        <w:pStyle w:val="ListBullet2"/>
      </w:pPr>
      <w:r w:rsidRPr="00364257">
        <w:t>concept of managed investments</w:t>
      </w:r>
    </w:p>
    <w:p w:rsidR="00000000" w:rsidRPr="00364257" w:rsidP="00364257">
      <w:pPr>
        <w:pStyle w:val="ListBullet2"/>
      </w:pPr>
      <w:r w:rsidRPr="00364257">
        <w:t>range of products offered under managed investments schemes, or a specific product offered under a scheme:</w:t>
      </w:r>
    </w:p>
    <w:p w:rsidR="00000000" w:rsidRPr="00364257" w:rsidP="00364257">
      <w:pPr>
        <w:pStyle w:val="ListBullet3"/>
      </w:pPr>
      <w:r w:rsidRPr="00364257">
        <w:t xml:space="preserve">property trusts, real estate </w:t>
      </w:r>
      <w:r w:rsidRPr="00364257">
        <w:t>investment strategies, valuation techniques, property management</w:t>
      </w:r>
    </w:p>
    <w:p w:rsidR="00000000" w:rsidRPr="00364257" w:rsidP="00364257">
      <w:pPr>
        <w:pStyle w:val="ListBullet3"/>
      </w:pPr>
      <w:r w:rsidRPr="00364257">
        <w:t>equity trusts, fixed interest trusts</w:t>
      </w:r>
    </w:p>
    <w:p w:rsidR="00000000" w:rsidRPr="00364257" w:rsidP="00364257">
      <w:pPr>
        <w:pStyle w:val="ListBullet3"/>
      </w:pPr>
      <w:r w:rsidRPr="00364257">
        <w:t>serviced strata schemes</w:t>
      </w:r>
    </w:p>
    <w:p w:rsidR="00000000" w:rsidRPr="00364257" w:rsidP="00364257">
      <w:pPr>
        <w:pStyle w:val="ListBullet3"/>
      </w:pPr>
      <w:r w:rsidRPr="00364257">
        <w:t>primary production schemes</w:t>
      </w:r>
    </w:p>
    <w:p w:rsidR="00000000" w:rsidRPr="00364257" w:rsidP="00364257">
      <w:pPr>
        <w:pStyle w:val="ListBullet3"/>
      </w:pPr>
      <w:r w:rsidRPr="00364257">
        <w:t>film schemes</w:t>
      </w:r>
    </w:p>
    <w:p w:rsidR="00000000" w:rsidRPr="00364257" w:rsidP="00364257">
      <w:pPr>
        <w:pStyle w:val="ListBullet3"/>
      </w:pPr>
      <w:r w:rsidRPr="00364257">
        <w:t>time-sharing schemes</w:t>
      </w:r>
    </w:p>
    <w:p w:rsidR="00000000" w:rsidRPr="00364257" w:rsidP="00364257">
      <w:pPr>
        <w:pStyle w:val="ListBullet2"/>
      </w:pPr>
      <w:r w:rsidRPr="00364257">
        <w:t>types of risks associated with managed investment products</w:t>
      </w:r>
    </w:p>
    <w:p w:rsidR="00000000" w:rsidRPr="00364257" w:rsidP="00364257">
      <w:pPr>
        <w:pStyle w:val="ListBullet"/>
      </w:pPr>
      <w:r w:rsidRPr="00364257">
        <w:t>outline taxation issues in relation to managed investment products and markets in which they operate</w:t>
      </w:r>
    </w:p>
    <w:p w:rsidR="00000000" w:rsidRPr="00364257" w:rsidP="00364257">
      <w:pPr>
        <w:pStyle w:val="ListBullet"/>
      </w:pPr>
      <w:r w:rsidRPr="00364257">
        <w:t>discuss the legal environment including disclosure and compliance covering:</w:t>
      </w:r>
    </w:p>
    <w:p w:rsidR="00000000" w:rsidRPr="00364257" w:rsidP="00364257">
      <w:pPr>
        <w:pStyle w:val="ListBullet2"/>
      </w:pPr>
      <w:r w:rsidRPr="00364257">
        <w:t>role of the representative or adviser</w:t>
      </w:r>
    </w:p>
    <w:p w:rsidR="00000000" w:rsidRPr="00364257" w:rsidP="00364257">
      <w:pPr>
        <w:pStyle w:val="ListBullet2"/>
      </w:pPr>
      <w:r w:rsidRPr="00364257">
        <w:t>relevant legal principles relating to the Corporations Act, Australian Securities and Investments Commission (ASIC) Act, Privacy Amendment (Private Sector) Act, Financial Services Reform Act (FSRA) and Competition and Consumer Act</w:t>
      </w:r>
    </w:p>
    <w:p w:rsidR="00000000" w:rsidRPr="00364257" w:rsidP="00364257">
      <w:pPr>
        <w:pStyle w:val="ListBullet2"/>
      </w:pPr>
      <w:r w:rsidRPr="00364257">
        <w:t>relationship between ethi</w:t>
      </w:r>
      <w:r w:rsidRPr="00364257">
        <w:t>cs and regulatory requirements including good faith, utmost good faith, full disclosure of remuneration and fees, and any other conflicts of interest which may influence the adviser</w:t>
      </w:r>
      <w:r>
        <w:t>’</w:t>
      </w:r>
      <w:r w:rsidRPr="00364257">
        <w:t>s recommendation</w:t>
      </w:r>
    </w:p>
    <w:p w:rsidR="00000000" w:rsidRPr="00364257" w:rsidP="00364257">
      <w:pPr>
        <w:pStyle w:val="ListBullet2"/>
      </w:pPr>
      <w:r w:rsidRPr="00364257">
        <w:t xml:space="preserve">relevant industry standards and codes of conduct </w:t>
      </w:r>
    </w:p>
    <w:p w:rsidR="00000000" w:rsidRPr="00364257" w:rsidP="00364257">
      <w:pPr>
        <w:pStyle w:val="ListBullet2"/>
      </w:pPr>
      <w:r w:rsidRPr="00364257">
        <w:t>regulat</w:t>
      </w:r>
      <w:r w:rsidRPr="00364257">
        <w:t xml:space="preserve">ors’ guidelines including ASIC Regulatory Guide (RG)146 requirements </w:t>
      </w:r>
    </w:p>
    <w:p w:rsidR="00000000" w:rsidRPr="00364257" w:rsidP="00364257">
      <w:pPr>
        <w:pStyle w:val="ListBullet2"/>
      </w:pPr>
      <w:r w:rsidRPr="00364257">
        <w:t>complaints resolution procedures (external and internal)</w:t>
      </w:r>
    </w:p>
    <w:p w:rsidR="00000000" w:rsidRPr="00364257" w:rsidP="00364257">
      <w:pPr>
        <w:pStyle w:val="ListBullet"/>
      </w:pPr>
      <w:r w:rsidRPr="00364257">
        <w:t>explain theories of investment, portfolio management and management of investment and risk:</w:t>
      </w:r>
    </w:p>
    <w:p w:rsidR="00000000" w:rsidRPr="00364257" w:rsidP="00364257">
      <w:pPr>
        <w:pStyle w:val="ListBullet2"/>
      </w:pPr>
      <w:r w:rsidRPr="00364257">
        <w:t>investment concepts</w:t>
      </w:r>
    </w:p>
    <w:p w:rsidR="00000000" w:rsidRPr="00364257" w:rsidP="00364257">
      <w:pPr>
        <w:pStyle w:val="ListBullet2"/>
      </w:pPr>
      <w:r w:rsidRPr="00364257">
        <w:t>investment stra</w:t>
      </w:r>
      <w:r w:rsidRPr="00364257">
        <w:t>tegies</w:t>
      </w:r>
    </w:p>
    <w:p w:rsidR="00000000" w:rsidRPr="00364257" w:rsidP="00364257">
      <w:pPr>
        <w:pStyle w:val="ListBullet2"/>
      </w:pPr>
      <w:r w:rsidRPr="00364257">
        <w:t>identification of types of risk</w:t>
      </w:r>
    </w:p>
    <w:p w:rsidR="00000000" w:rsidRPr="00364257" w:rsidP="00364257">
      <w:pPr>
        <w:pStyle w:val="ListBullet2"/>
      </w:pPr>
      <w:r w:rsidRPr="00364257">
        <w:t>client risk profile.</w:t>
      </w:r>
    </w:p>
    <w:p w:rsidR="00000000" w:rsidRPr="00364257" w:rsidP="00364257">
      <w:pPr>
        <w:pStyle w:val="AllowPageBreak"/>
      </w:pPr>
    </w:p>
    <w:p w:rsidR="00000000" w:rsidRPr="00364257" w:rsidP="00364257">
      <w:pPr>
        <w:pStyle w:val="Heading1"/>
      </w:pPr>
      <w:bookmarkStart w:id="4" w:name="O_672440"/>
      <w:bookmarkEnd w:id="4"/>
      <w:r w:rsidRPr="00364257">
        <w:t>Assessment Conditions</w:t>
      </w:r>
    </w:p>
    <w:p w:rsidR="00000000" w:rsidRPr="00364257" w:rsidP="00131E7D">
      <w:pPr>
        <w:pStyle w:val="BodyText"/>
      </w:pPr>
      <w:r w:rsidRPr="00364257">
        <w:t xml:space="preserve">Assessment must be conducted in a safe environment where evidence gathered demonstrates consistent performance of typical activities experienced in the </w:t>
      </w:r>
      <w:r w:rsidRPr="00364257">
        <w:t>financial services and products advice field of work and include access to:</w:t>
      </w:r>
    </w:p>
    <w:p w:rsidR="00000000" w:rsidRPr="00364257" w:rsidP="00364257">
      <w:pPr>
        <w:pStyle w:val="ListBullet"/>
      </w:pPr>
      <w:r w:rsidRPr="00364257">
        <w:t>office equipment, technology, software and consumables</w:t>
      </w:r>
    </w:p>
    <w:p w:rsidR="00000000" w:rsidRPr="00364257" w:rsidP="00364257">
      <w:pPr>
        <w:pStyle w:val="ListBullet"/>
      </w:pPr>
      <w:r w:rsidRPr="00364257">
        <w:t>managed investment product information.</w:t>
      </w:r>
    </w:p>
    <w:p w:rsidR="00000000" w:rsidRPr="00364257" w:rsidP="00364257">
      <w:pPr>
        <w:pStyle w:val="BodyText"/>
      </w:pPr>
    </w:p>
    <w:p w:rsidR="00000000" w:rsidRPr="00364257" w:rsidP="00131E7D">
      <w:pPr>
        <w:pStyle w:val="BodyText"/>
      </w:pPr>
      <w:r w:rsidRPr="00364257">
        <w:t xml:space="preserve">Assessors must satisfy NVR/AQTF assessor requirements. </w:t>
      </w:r>
    </w:p>
    <w:p w:rsidR="00000000" w:rsidRPr="00364257" w:rsidP="00364257">
      <w:pPr>
        <w:pStyle w:val="Heading1"/>
      </w:pPr>
      <w:bookmarkStart w:id="5" w:name="O_672443"/>
      <w:bookmarkEnd w:id="5"/>
      <w:r w:rsidRPr="00364257">
        <w:t>Links</w:t>
      </w:r>
    </w:p>
    <w:p w:rsidR="00000000" w:rsidRPr="00364257" w:rsidP="00131E7D">
      <w:pPr>
        <w:pStyle w:val="BodyText"/>
      </w:pPr>
      <w:r w:rsidRPr="00364257">
        <w:t>Comp</w:t>
      </w:r>
      <w:r w:rsidRPr="00364257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578E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64257" w:rsidP="00364257"/>
    <w:sectPr w:rsidSect="003642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57" w:rsidRPr="00131E7D" w:rsidP="00131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7D" w:rsidP="00364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E7D" w:rsidP="00364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E7D" w:rsidP="00364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257" w:rsidRPr="00131E7D" w:rsidP="00131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7D" w:rsidRPr="002D2AF8" w:rsidP="00364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FNSASICT503 Provide advice in managed investments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31E7D" w:rsidP="00364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42E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5E8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1E5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257"/>
  </w:style>
  <w:style w:type="character" w:customStyle="1" w:styleId="Heading1Char">
    <w:name w:val="Heading 1 Char"/>
    <w:basedOn w:val="DefaultParagraphFont"/>
    <w:link w:val="Heading1"/>
    <w:rsid w:val="00364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25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257"/>
    <w:rPr>
      <w:b/>
      <w:spacing w:val="0"/>
    </w:rPr>
  </w:style>
  <w:style w:type="paragraph" w:styleId="ListBullet2">
    <w:name w:val="List Bullet 2"/>
    <w:basedOn w:val="List2"/>
    <w:rsid w:val="0036425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425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4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2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257"/>
    <w:rPr>
      <w:i/>
    </w:rPr>
  </w:style>
  <w:style w:type="paragraph" w:styleId="Caption">
    <w:name w:val="caption"/>
    <w:basedOn w:val="BodyText"/>
    <w:next w:val="Normal"/>
    <w:qFormat/>
    <w:rsid w:val="00364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257"/>
  </w:style>
  <w:style w:type="paragraph" w:styleId="TableofFigures">
    <w:name w:val="table of figures"/>
    <w:basedOn w:val="Normal"/>
    <w:next w:val="Normal"/>
    <w:semiHidden/>
    <w:rsid w:val="00364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25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4257"/>
    <w:rPr>
      <w:rFonts w:ascii="Wingdings" w:hAnsi="Wingdings"/>
    </w:rPr>
  </w:style>
  <w:style w:type="paragraph" w:customStyle="1" w:styleId="TableHeading">
    <w:name w:val="Table Heading"/>
    <w:basedOn w:val="HeadingBase"/>
    <w:rsid w:val="00364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257"/>
    <w:rPr>
      <w:color w:val="0033CC"/>
      <w:u w:val="none"/>
    </w:rPr>
  </w:style>
  <w:style w:type="paragraph" w:customStyle="1" w:styleId="BodyTextRight">
    <w:name w:val="Body Text Right"/>
    <w:basedOn w:val="BodyText"/>
    <w:rsid w:val="00364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25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257"/>
    <w:rPr>
      <w:sz w:val="32"/>
    </w:rPr>
  </w:style>
  <w:style w:type="paragraph" w:customStyle="1" w:styleId="HeadingProcedure">
    <w:name w:val="Heading Procedure"/>
    <w:basedOn w:val="HeadingBase"/>
    <w:next w:val="Normal"/>
    <w:rsid w:val="00364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257"/>
    <w:pPr>
      <w:spacing w:before="60" w:after="60"/>
    </w:pPr>
  </w:style>
  <w:style w:type="paragraph" w:styleId="ListContinue">
    <w:name w:val="List Continue"/>
    <w:basedOn w:val="List"/>
    <w:rsid w:val="00364257"/>
    <w:pPr>
      <w:ind w:firstLine="0"/>
    </w:pPr>
  </w:style>
  <w:style w:type="paragraph" w:customStyle="1" w:styleId="ListNote">
    <w:name w:val="List Note"/>
    <w:basedOn w:val="List"/>
    <w:rsid w:val="00364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257"/>
    <w:rPr>
      <w:rFonts w:ascii="Courier New" w:hAnsi="Courier New"/>
    </w:rPr>
  </w:style>
  <w:style w:type="paragraph" w:customStyle="1" w:styleId="NoteBullet">
    <w:name w:val="Note Bullet"/>
    <w:basedOn w:val="Note"/>
    <w:rsid w:val="00364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25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4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257"/>
    <w:rPr>
      <w:b/>
      <w:smallCaps/>
    </w:rPr>
  </w:style>
  <w:style w:type="paragraph" w:customStyle="1" w:styleId="TableListNumber">
    <w:name w:val="Table List Number"/>
    <w:basedOn w:val="ListNumber"/>
    <w:rsid w:val="00364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257"/>
    <w:pPr>
      <w:numPr>
        <w:numId w:val="10"/>
      </w:numPr>
    </w:pPr>
  </w:style>
  <w:style w:type="paragraph" w:customStyle="1" w:styleId="ListAlpha2">
    <w:name w:val="List Alpha 2"/>
    <w:basedOn w:val="List2"/>
    <w:rsid w:val="00364257"/>
    <w:pPr>
      <w:numPr>
        <w:numId w:val="9"/>
      </w:numPr>
    </w:pPr>
  </w:style>
  <w:style w:type="paragraph" w:styleId="List2">
    <w:name w:val="List 2"/>
    <w:basedOn w:val="BodyText"/>
    <w:rsid w:val="00364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25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425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4257"/>
    <w:pPr>
      <w:numPr>
        <w:numId w:val="5"/>
      </w:numPr>
    </w:pPr>
  </w:style>
  <w:style w:type="paragraph" w:styleId="ListContinue2">
    <w:name w:val="List Continue 2"/>
    <w:basedOn w:val="List2"/>
    <w:rsid w:val="00364257"/>
    <w:pPr>
      <w:ind w:firstLine="0"/>
    </w:pPr>
  </w:style>
  <w:style w:type="paragraph" w:styleId="ListContinue3">
    <w:name w:val="List Continue 3"/>
    <w:basedOn w:val="List3"/>
    <w:rsid w:val="00364257"/>
    <w:pPr>
      <w:ind w:left="1021" w:firstLine="0"/>
    </w:pPr>
  </w:style>
  <w:style w:type="paragraph" w:styleId="ListContinue4">
    <w:name w:val="List Continue 4"/>
    <w:basedOn w:val="List4"/>
    <w:rsid w:val="00364257"/>
    <w:pPr>
      <w:ind w:firstLine="0"/>
    </w:pPr>
  </w:style>
  <w:style w:type="paragraph" w:styleId="ListContinue5">
    <w:name w:val="List Continue 5"/>
    <w:basedOn w:val="List5"/>
    <w:rsid w:val="00364257"/>
    <w:pPr>
      <w:ind w:firstLine="0"/>
    </w:pPr>
  </w:style>
  <w:style w:type="paragraph" w:styleId="ListNumber3">
    <w:name w:val="List Number 3"/>
    <w:basedOn w:val="List3"/>
    <w:rsid w:val="00364257"/>
    <w:pPr>
      <w:numPr>
        <w:numId w:val="6"/>
      </w:numPr>
    </w:pPr>
  </w:style>
  <w:style w:type="paragraph" w:styleId="ListNumber4">
    <w:name w:val="List Number 4"/>
    <w:basedOn w:val="List4"/>
    <w:rsid w:val="00364257"/>
    <w:pPr>
      <w:numPr>
        <w:numId w:val="7"/>
      </w:numPr>
    </w:pPr>
  </w:style>
  <w:style w:type="paragraph" w:styleId="ListNumber5">
    <w:name w:val="List Number 5"/>
    <w:basedOn w:val="List5"/>
    <w:rsid w:val="00364257"/>
    <w:pPr>
      <w:numPr>
        <w:numId w:val="8"/>
      </w:numPr>
    </w:pPr>
  </w:style>
  <w:style w:type="paragraph" w:styleId="BlockText">
    <w:name w:val="Block Text"/>
    <w:basedOn w:val="Normal"/>
    <w:rsid w:val="00364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257"/>
    <w:rPr>
      <w:sz w:val="16"/>
      <w:vertAlign w:val="superscript"/>
    </w:rPr>
  </w:style>
  <w:style w:type="character" w:customStyle="1" w:styleId="Symbols">
    <w:name w:val="Symbols"/>
    <w:basedOn w:val="DefaultParagraphFont"/>
    <w:rsid w:val="00364257"/>
    <w:rPr>
      <w:rFonts w:ascii="Symbol" w:hAnsi="Symbol"/>
    </w:rPr>
  </w:style>
  <w:style w:type="character" w:customStyle="1" w:styleId="MenuOptions">
    <w:name w:val="Menu Options"/>
    <w:basedOn w:val="DefaultParagraphFont"/>
    <w:rsid w:val="00364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257"/>
    <w:rPr>
      <w:b/>
    </w:rPr>
  </w:style>
  <w:style w:type="character" w:customStyle="1" w:styleId="Underlined">
    <w:name w:val="Underlined"/>
    <w:basedOn w:val="DefaultParagraphFont"/>
    <w:rsid w:val="00364257"/>
    <w:rPr>
      <w:u w:val="single"/>
    </w:rPr>
  </w:style>
  <w:style w:type="paragraph" w:customStyle="1" w:styleId="TableBodyTextRight">
    <w:name w:val="Table Body Text Right"/>
    <w:basedOn w:val="TableBodyText"/>
    <w:rsid w:val="00364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257"/>
    <w:rPr>
      <w:sz w:val="18"/>
    </w:rPr>
  </w:style>
  <w:style w:type="paragraph" w:customStyle="1" w:styleId="BodySmallRight">
    <w:name w:val="Body Small Right"/>
    <w:basedOn w:val="BodyTextRight"/>
    <w:rsid w:val="00364257"/>
    <w:rPr>
      <w:sz w:val="18"/>
      <w:szCs w:val="18"/>
    </w:rPr>
  </w:style>
  <w:style w:type="paragraph" w:customStyle="1" w:styleId="MarginEdition">
    <w:name w:val="Margin Edition"/>
    <w:basedOn w:val="MarginNote"/>
    <w:rsid w:val="00364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257"/>
    <w:rPr>
      <w:sz w:val="2"/>
      <w:szCs w:val="2"/>
    </w:rPr>
  </w:style>
  <w:style w:type="character" w:customStyle="1" w:styleId="Small">
    <w:name w:val="Small"/>
    <w:basedOn w:val="DefaultParagraphFont"/>
    <w:rsid w:val="00364257"/>
    <w:rPr>
      <w:sz w:val="16"/>
    </w:rPr>
  </w:style>
  <w:style w:type="paragraph" w:customStyle="1" w:styleId="WideTable">
    <w:name w:val="Wide Table"/>
    <w:basedOn w:val="Normal"/>
    <w:rsid w:val="00364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257"/>
  </w:style>
  <w:style w:type="paragraph" w:styleId="Quote">
    <w:name w:val="Quote"/>
    <w:basedOn w:val="Heading1"/>
    <w:link w:val="QuoteChar"/>
    <w:qFormat/>
    <w:rsid w:val="00364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257"/>
    <w:pPr>
      <w:pageBreakBefore/>
    </w:pPr>
  </w:style>
  <w:style w:type="paragraph" w:customStyle="1" w:styleId="Border">
    <w:name w:val="Border"/>
    <w:basedOn w:val="Normal"/>
    <w:qFormat/>
    <w:rsid w:val="00364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257"/>
    <w:rPr>
      <w:u w:val="single"/>
    </w:rPr>
  </w:style>
  <w:style w:type="character" w:customStyle="1" w:styleId="BoldandItalics">
    <w:name w:val="Bold and Italics"/>
    <w:qFormat/>
    <w:rsid w:val="00364257"/>
    <w:rPr>
      <w:b/>
      <w:i/>
      <w:u w:val="none"/>
    </w:rPr>
  </w:style>
  <w:style w:type="paragraph" w:styleId="BalloonText">
    <w:name w:val="Balloon Text"/>
    <w:basedOn w:val="Normal"/>
    <w:link w:val="BalloonTextChar"/>
    <w:rsid w:val="00364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257"/>
    <w:pPr>
      <w:spacing w:before="0" w:after="0"/>
    </w:pPr>
  </w:style>
  <w:style w:type="paragraph" w:customStyle="1" w:styleId="BodyTextBold">
    <w:name w:val="Body Text Bold"/>
    <w:basedOn w:val="BodyText"/>
    <w:qFormat/>
    <w:rsid w:val="00364257"/>
    <w:rPr>
      <w:b/>
    </w:rPr>
  </w:style>
  <w:style w:type="character" w:styleId="Hyperlink">
    <w:name w:val="Hyperlink"/>
    <w:basedOn w:val="DefaultParagraphFont"/>
    <w:uiPriority w:val="99"/>
    <w:unhideWhenUsed/>
    <w:rsid w:val="00131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3507</Characters>
  <Application>Microsoft Office Word</Application>
  <DocSecurity>0</DocSecurity>
  <Lines>97</Lines>
  <Paragraphs>73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FNSASICT503 Provide advice in managed investments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2022-01-27T02:39:00Z</dcterms:created>
  <dcterms:modified xsi:type="dcterms:W3CDTF">2022-01-27T02:39:00Z</dcterms:modified>
</cp:coreProperties>
</file>