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9FD" w:rsidP="000E19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FNSASICR503 Provide advice in margin lending</w:t>
      </w:r>
      <w:r>
        <w:fldChar w:fldCharType="end"/>
      </w:r>
    </w:p>
    <w:p w:rsidR="000E19FD" w:rsidP="000E19FD">
      <w:pPr>
        <w:pStyle w:val="Version"/>
        <w:sectPr w:rsidSect="00072A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2AD4" w:rsidP="00072AD4">
      <w:pPr>
        <w:pStyle w:val="SuperHeading"/>
      </w:pPr>
      <w:r w:rsidRPr="00072AD4">
        <w:t>Assessment Requirements for FNSASICR503 Provide advice in margin lending</w:t>
      </w:r>
    </w:p>
    <w:p w:rsidR="00000000" w:rsidRPr="00072AD4" w:rsidP="00072AD4">
      <w:pPr>
        <w:pStyle w:val="Heading1"/>
      </w:pPr>
      <w:bookmarkStart w:id="1" w:name="O_672341"/>
      <w:bookmarkEnd w:id="1"/>
      <w:r w:rsidRPr="00072A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72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D4" w:rsidP="00072AD4">
            <w:pPr>
              <w:pStyle w:val="BodyText"/>
            </w:pPr>
            <w:r w:rsidRPr="00072A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D4">
            <w:pPr>
              <w:pStyle w:val="BodyText"/>
              <w:rPr>
                <w:lang w:val="en-NZ"/>
              </w:rPr>
            </w:pPr>
            <w:r w:rsidRPr="00072AD4">
              <w:rPr>
                <w:rStyle w:val="SpecialBold"/>
              </w:rPr>
              <w:t>Comments</w:t>
            </w:r>
          </w:p>
        </w:tc>
      </w:tr>
      <w:tr w:rsidTr="00072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2AD4">
            <w:pPr>
              <w:pStyle w:val="BodyText"/>
              <w:rPr>
                <w:lang w:val="en-NZ"/>
              </w:rPr>
            </w:pPr>
            <w:r w:rsidRPr="00072A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2AD4" w:rsidP="00072AD4">
            <w:pPr>
              <w:pStyle w:val="BodyText"/>
            </w:pPr>
            <w:r w:rsidRPr="00072AD4">
              <w:t>This version first released with FNS Financial Services Training Package Version 1.0.</w:t>
            </w:r>
          </w:p>
        </w:tc>
      </w:tr>
    </w:tbl>
    <w:p w:rsidR="00000000" w:rsidRPr="00072AD4" w:rsidP="00072AD4">
      <w:pPr>
        <w:pStyle w:val="BodyText"/>
      </w:pPr>
    </w:p>
    <w:p w:rsidR="00000000" w:rsidRPr="00072AD4" w:rsidP="00072AD4">
      <w:pPr>
        <w:pStyle w:val="AllowPageBreak"/>
      </w:pPr>
    </w:p>
    <w:p w:rsidR="00000000" w:rsidRPr="00072AD4" w:rsidP="00072AD4">
      <w:pPr>
        <w:pStyle w:val="Heading1"/>
      </w:pPr>
      <w:bookmarkStart w:id="2" w:name="O_672342"/>
      <w:bookmarkEnd w:id="2"/>
      <w:r w:rsidRPr="00072AD4">
        <w:t>Performance Evidence</w:t>
      </w:r>
    </w:p>
    <w:p w:rsidR="00000000" w:rsidRPr="00072AD4" w:rsidP="000E19FD">
      <w:pPr>
        <w:pStyle w:val="BodyText"/>
      </w:pPr>
      <w:r w:rsidRPr="00072AD4">
        <w:t>Evidence of the ability to:</w:t>
      </w:r>
    </w:p>
    <w:p w:rsidR="00000000" w:rsidRPr="00072AD4" w:rsidP="00072AD4">
      <w:pPr>
        <w:pStyle w:val="ListBullet"/>
      </w:pPr>
      <w:r w:rsidRPr="00072AD4">
        <w:t>interpret and comply with industry regulations and codes of practice</w:t>
      </w:r>
    </w:p>
    <w:p w:rsidR="00000000" w:rsidRPr="00072AD4" w:rsidP="00072AD4">
      <w:pPr>
        <w:pStyle w:val="ListBullet"/>
      </w:pPr>
      <w:r w:rsidRPr="00072AD4">
        <w:t>analyse client needs, financial situation and risk profile, and prepare appropriate strategies or solutions relating to margin lending</w:t>
      </w:r>
    </w:p>
    <w:p w:rsidR="00000000" w:rsidRPr="00072AD4" w:rsidP="00072AD4">
      <w:pPr>
        <w:pStyle w:val="ListBullet"/>
      </w:pPr>
      <w:r w:rsidRPr="00072AD4">
        <w:t>pr</w:t>
      </w:r>
      <w:r w:rsidRPr="00072AD4">
        <w:t>ovide accurate and ethical advice on margin lending products and services</w:t>
      </w:r>
    </w:p>
    <w:p w:rsidR="00000000" w:rsidRPr="00072AD4" w:rsidP="00072AD4">
      <w:pPr>
        <w:pStyle w:val="ListBullet"/>
      </w:pPr>
      <w:r w:rsidRPr="00072AD4">
        <w:t>implement the plan, policy or transaction once agreed by the client and complete documentation accurately.</w:t>
      </w:r>
    </w:p>
    <w:p w:rsidR="00000000" w:rsidRPr="00072AD4" w:rsidP="00072AD4">
      <w:pPr>
        <w:pStyle w:val="BodyText"/>
      </w:pPr>
    </w:p>
    <w:p w:rsidR="00000000" w:rsidRPr="00072AD4" w:rsidP="000E19FD">
      <w:pPr>
        <w:pStyle w:val="BodyText"/>
      </w:pPr>
      <w:r w:rsidRPr="00072AD4">
        <w:t>Note: If a specific volume or frequency is not stated, then evidence must be provided at least once.</w:t>
      </w:r>
    </w:p>
    <w:p w:rsidR="00000000" w:rsidRPr="00072AD4" w:rsidP="00072AD4">
      <w:pPr>
        <w:pStyle w:val="Heading1"/>
      </w:pPr>
      <w:bookmarkStart w:id="3" w:name="O_672343"/>
      <w:bookmarkEnd w:id="3"/>
      <w:r w:rsidRPr="00072AD4">
        <w:t>Knowledge Evidence</w:t>
      </w:r>
    </w:p>
    <w:p w:rsidR="00000000" w:rsidRPr="00072AD4" w:rsidP="000E19FD">
      <w:pPr>
        <w:pStyle w:val="BodyText"/>
      </w:pPr>
      <w:r w:rsidRPr="00072AD4">
        <w:t xml:space="preserve">To complete the unit requirements safely and effectively, the individual must satisfy generic and specialist knowledge </w:t>
      </w:r>
      <w:r w:rsidRPr="00072AD4">
        <w:t>requirements relevant to the products and activities in which advice is given.</w:t>
      </w:r>
    </w:p>
    <w:p w:rsidR="00000000" w:rsidRPr="00072AD4" w:rsidP="000E19FD">
      <w:pPr>
        <w:pStyle w:val="Heading3"/>
      </w:pPr>
      <w:r w:rsidRPr="00072AD4">
        <w:rPr>
          <w:rStyle w:val="SpecialBold"/>
        </w:rPr>
        <w:t xml:space="preserve">Generic knowledge </w:t>
      </w:r>
    </w:p>
    <w:p w:rsidR="00000000" w:rsidRPr="00072AD4" w:rsidP="00072AD4">
      <w:pPr>
        <w:pStyle w:val="ListBullet"/>
      </w:pPr>
      <w:r w:rsidRPr="00072AD4">
        <w:t>analyse and provide an overview of the economic environment including:</w:t>
      </w:r>
    </w:p>
    <w:p w:rsidR="00000000" w:rsidRPr="00072AD4" w:rsidP="00072AD4">
      <w:pPr>
        <w:pStyle w:val="ListBullet2"/>
      </w:pPr>
      <w:r w:rsidRPr="00072AD4">
        <w:t>characteristics and impact of economic and business cycles</w:t>
      </w:r>
    </w:p>
    <w:p w:rsidR="00000000" w:rsidRPr="00072AD4" w:rsidP="00072AD4">
      <w:pPr>
        <w:pStyle w:val="ListBullet2"/>
      </w:pPr>
      <w:r w:rsidRPr="00072AD4">
        <w:t>interest rates and exchan</w:t>
      </w:r>
      <w:r w:rsidRPr="00072AD4">
        <w:t>ge rates</w:t>
      </w:r>
    </w:p>
    <w:p w:rsidR="00000000" w:rsidRPr="00072AD4" w:rsidP="00072AD4">
      <w:pPr>
        <w:pStyle w:val="ListBullet2"/>
      </w:pPr>
      <w:r w:rsidRPr="00072AD4">
        <w:t>inflation</w:t>
      </w:r>
    </w:p>
    <w:p w:rsidR="00000000" w:rsidRPr="00072AD4" w:rsidP="00072AD4">
      <w:pPr>
        <w:pStyle w:val="ListBullet2"/>
      </w:pPr>
      <w:r w:rsidRPr="00072AD4">
        <w:t>government monetary and fiscal policy</w:t>
      </w:r>
    </w:p>
    <w:p w:rsidR="00000000" w:rsidRPr="00072AD4" w:rsidP="00072AD4">
      <w:pPr>
        <w:pStyle w:val="ListBullet"/>
      </w:pPr>
      <w:r w:rsidRPr="00072AD4">
        <w:t>analyse and provide a detailed explanation of the operation of financial markets including:</w:t>
      </w:r>
    </w:p>
    <w:p w:rsidR="00000000" w:rsidRPr="00072AD4" w:rsidP="00072AD4">
      <w:pPr>
        <w:pStyle w:val="ListBullet2"/>
      </w:pPr>
      <w:r w:rsidRPr="00072AD4">
        <w:t>roles played by intermediaries and issuers</w:t>
      </w:r>
    </w:p>
    <w:p w:rsidR="00000000" w:rsidRPr="00072AD4" w:rsidP="00072AD4">
      <w:pPr>
        <w:pStyle w:val="ListBullet2"/>
      </w:pPr>
      <w:r w:rsidRPr="00072AD4">
        <w:t>structure and interrelationships within the financial markets</w:t>
      </w:r>
    </w:p>
    <w:p w:rsidR="00000000" w:rsidRPr="00072AD4" w:rsidP="00072AD4">
      <w:pPr>
        <w:pStyle w:val="ListBullet2"/>
      </w:pPr>
      <w:r w:rsidRPr="00072AD4">
        <w:t xml:space="preserve">interrelationship between industry sectors </w:t>
      </w:r>
    </w:p>
    <w:p w:rsidR="00000000" w:rsidRPr="00072AD4" w:rsidP="00072AD4">
      <w:pPr>
        <w:pStyle w:val="ListBullet"/>
      </w:pPr>
      <w:r w:rsidRPr="00072AD4">
        <w:t>outline financial products including:</w:t>
      </w:r>
    </w:p>
    <w:p w:rsidR="00000000" w:rsidRPr="00072AD4" w:rsidP="00072AD4">
      <w:pPr>
        <w:pStyle w:val="ListBullet2"/>
      </w:pPr>
      <w:r w:rsidRPr="00072AD4">
        <w:t>concept of a financial product – general definition, and specific inclusions and exclusions</w:t>
      </w:r>
    </w:p>
    <w:p w:rsidR="00000000" w:rsidRPr="00072AD4" w:rsidP="00072AD4">
      <w:pPr>
        <w:pStyle w:val="ListBullet2"/>
      </w:pPr>
      <w:r w:rsidRPr="00072AD4">
        <w:t>types of financial investment products</w:t>
      </w:r>
    </w:p>
    <w:p w:rsidR="00000000" w:rsidRPr="00072AD4" w:rsidP="00072AD4">
      <w:pPr>
        <w:pStyle w:val="ListBullet2"/>
      </w:pPr>
      <w:r w:rsidRPr="00072AD4">
        <w:t>types of financial risk products.</w:t>
      </w:r>
    </w:p>
    <w:p w:rsidR="00000000" w:rsidRPr="00072AD4" w:rsidP="00072AD4">
      <w:pPr>
        <w:pStyle w:val="BodyText"/>
      </w:pPr>
    </w:p>
    <w:p w:rsidR="00000000" w:rsidRPr="00072AD4" w:rsidP="000E19FD">
      <w:pPr>
        <w:pStyle w:val="Heading3"/>
      </w:pPr>
      <w:r w:rsidRPr="00072AD4">
        <w:rPr>
          <w:rStyle w:val="SpecialBold"/>
        </w:rPr>
        <w:t>Specia</w:t>
      </w:r>
      <w:r w:rsidRPr="00072AD4">
        <w:rPr>
          <w:rStyle w:val="SpecialBold"/>
        </w:rPr>
        <w:t>list knowledge</w:t>
      </w:r>
    </w:p>
    <w:p w:rsidR="00000000" w:rsidRPr="00072AD4" w:rsidP="00072AD4">
      <w:pPr>
        <w:pStyle w:val="ListBullet"/>
      </w:pPr>
      <w:r w:rsidRPr="00072AD4">
        <w:t>discuss types of margin lending facility products (encompassing standard margin lending facilities and non-standard margin lending facilities),associated risks and alternative products (derivatives where relevant)</w:t>
      </w:r>
    </w:p>
    <w:p w:rsidR="00000000" w:rsidRPr="00072AD4" w:rsidP="00072AD4">
      <w:pPr>
        <w:pStyle w:val="ListBullet"/>
      </w:pPr>
      <w:r w:rsidRPr="00072AD4">
        <w:t>outline characteristics of</w:t>
      </w:r>
      <w:r w:rsidRPr="00072AD4">
        <w:t xml:space="preserve"> margin lending products including:</w:t>
      </w:r>
    </w:p>
    <w:p w:rsidR="00000000" w:rsidRPr="00072AD4" w:rsidP="00072AD4">
      <w:pPr>
        <w:pStyle w:val="ListBullet2"/>
      </w:pPr>
      <w:r w:rsidRPr="00072AD4">
        <w:t>how the various types of margin lending facility products operate</w:t>
      </w:r>
    </w:p>
    <w:p w:rsidR="00000000" w:rsidRPr="00072AD4" w:rsidP="00072AD4">
      <w:pPr>
        <w:pStyle w:val="ListBullet2"/>
      </w:pPr>
      <w:r w:rsidRPr="00072AD4">
        <w:t>providers</w:t>
      </w:r>
      <w:r>
        <w:t>’</w:t>
      </w:r>
      <w:r w:rsidRPr="00072AD4">
        <w:t xml:space="preserve"> and clients</w:t>
      </w:r>
      <w:r>
        <w:t>’</w:t>
      </w:r>
      <w:r w:rsidRPr="00072AD4">
        <w:t xml:space="preserve"> rights and responsibilities</w:t>
      </w:r>
    </w:p>
    <w:p w:rsidR="00000000" w:rsidRPr="00072AD4" w:rsidP="00072AD4">
      <w:pPr>
        <w:pStyle w:val="ListBullet2"/>
      </w:pPr>
      <w:r w:rsidRPr="00072AD4">
        <w:t>effect of provider taking security over clients</w:t>
      </w:r>
      <w:r>
        <w:t>’</w:t>
      </w:r>
      <w:r w:rsidRPr="00072AD4">
        <w:t xml:space="preserve"> assets</w:t>
      </w:r>
    </w:p>
    <w:p w:rsidR="00000000" w:rsidRPr="00072AD4" w:rsidP="00072AD4">
      <w:pPr>
        <w:pStyle w:val="ListBullet2"/>
      </w:pPr>
      <w:r w:rsidRPr="00072AD4">
        <w:t>effect of provider receiving a transfer of th</w:t>
      </w:r>
      <w:r w:rsidRPr="00072AD4">
        <w:t>e clients</w:t>
      </w:r>
      <w:r>
        <w:t>’</w:t>
      </w:r>
      <w:r w:rsidRPr="00072AD4">
        <w:t xml:space="preserve"> assets</w:t>
      </w:r>
    </w:p>
    <w:p w:rsidR="00000000" w:rsidRPr="00072AD4" w:rsidP="00072AD4">
      <w:pPr>
        <w:pStyle w:val="ListBullet2"/>
      </w:pPr>
      <w:r w:rsidRPr="00072AD4">
        <w:t>calculating loan-to-value ratios of both individual products and the overall portfolio</w:t>
      </w:r>
    </w:p>
    <w:p w:rsidR="00000000" w:rsidRPr="00072AD4" w:rsidP="00072AD4">
      <w:pPr>
        <w:pStyle w:val="ListBullet2"/>
      </w:pPr>
      <w:r w:rsidRPr="00072AD4">
        <w:t>consequences of issuers altering the loan-to-value ratio of individual products</w:t>
      </w:r>
    </w:p>
    <w:p w:rsidR="00000000" w:rsidRPr="00072AD4" w:rsidP="00072AD4">
      <w:pPr>
        <w:pStyle w:val="ListBullet2"/>
      </w:pPr>
      <w:r w:rsidRPr="00072AD4">
        <w:t>margin calls –</w:t>
      </w:r>
      <w:r w:rsidRPr="00072AD4">
        <w:t xml:space="preserve"> ways of making a margin call, consequences of margin calls and how they may be resolved, and strategies by which the borrower may avoid margin calls</w:t>
      </w:r>
    </w:p>
    <w:p w:rsidR="00000000" w:rsidRPr="00072AD4" w:rsidP="00072AD4">
      <w:pPr>
        <w:pStyle w:val="ListBullet2"/>
      </w:pPr>
      <w:r w:rsidRPr="00072AD4">
        <w:t>approved product list – consequences of removing a product from the approved products list</w:t>
      </w:r>
    </w:p>
    <w:p w:rsidR="00000000" w:rsidRPr="00072AD4" w:rsidP="00072AD4">
      <w:pPr>
        <w:pStyle w:val="ListBullet"/>
      </w:pPr>
      <w:r w:rsidRPr="00072AD4">
        <w:t>outline taxati</w:t>
      </w:r>
      <w:r w:rsidRPr="00072AD4">
        <w:t>on issues in relation to margin lending facilities including:</w:t>
      </w:r>
    </w:p>
    <w:p w:rsidR="00000000" w:rsidRPr="00072AD4" w:rsidP="00072AD4">
      <w:pPr>
        <w:pStyle w:val="ListBullet2"/>
      </w:pPr>
      <w:r w:rsidRPr="00072AD4">
        <w:t>deductibility of costs associated with margin lending, including interest payments</w:t>
      </w:r>
    </w:p>
    <w:p w:rsidR="00000000" w:rsidRPr="00072AD4" w:rsidP="00072AD4">
      <w:pPr>
        <w:pStyle w:val="ListBullet2"/>
      </w:pPr>
      <w:r w:rsidRPr="00072AD4">
        <w:t>liability for capital gains tax (CGT)</w:t>
      </w:r>
    </w:p>
    <w:p w:rsidR="00000000" w:rsidRPr="00072AD4" w:rsidP="00072AD4">
      <w:pPr>
        <w:pStyle w:val="ListBullet"/>
      </w:pPr>
      <w:r w:rsidRPr="00072AD4">
        <w:t>discuss the legal environment including disclosure and compliance cover</w:t>
      </w:r>
      <w:r w:rsidRPr="00072AD4">
        <w:t>ing:</w:t>
      </w:r>
    </w:p>
    <w:p w:rsidR="00000000" w:rsidRPr="00072AD4" w:rsidP="00072AD4">
      <w:pPr>
        <w:pStyle w:val="ListBullet2"/>
      </w:pPr>
      <w:r w:rsidRPr="00072AD4">
        <w:t>role of the representative or adviser</w:t>
      </w:r>
    </w:p>
    <w:p w:rsidR="00000000" w:rsidRPr="00072AD4" w:rsidP="00072AD4">
      <w:pPr>
        <w:pStyle w:val="ListBullet2"/>
      </w:pPr>
      <w:r w:rsidRPr="00072AD4">
        <w:t>relevant legal principles relating to the Corporations Act, Australian Securities and Investments Commission (ASIC) Act, Privacy Amendment (Private Sector) Act, Financial Services Reform Act (FSRA) and Competitio</w:t>
      </w:r>
      <w:r w:rsidRPr="00072AD4">
        <w:t>n and Consumer Act</w:t>
      </w:r>
    </w:p>
    <w:p w:rsidR="00000000" w:rsidRPr="00072AD4" w:rsidP="00072AD4">
      <w:pPr>
        <w:pStyle w:val="ListBullet2"/>
      </w:pPr>
      <w:r w:rsidRPr="00072AD4">
        <w:t>relationship between ethics and regulatory requirements including good faith, faith, utmost good faith, full disclosure of remuneration and fees, and any other conflicts of interest which may influence the adviser</w:t>
      </w:r>
      <w:r>
        <w:t>’</w:t>
      </w:r>
      <w:r w:rsidRPr="00072AD4">
        <w:t>s recommendation</w:t>
      </w:r>
    </w:p>
    <w:p w:rsidR="00000000" w:rsidRPr="00072AD4" w:rsidP="00072AD4">
      <w:pPr>
        <w:pStyle w:val="ListBullet2"/>
      </w:pPr>
      <w:r w:rsidRPr="00072AD4">
        <w:t>releva</w:t>
      </w:r>
      <w:r w:rsidRPr="00072AD4">
        <w:t xml:space="preserve">nt industry standards and codes of conduct </w:t>
      </w:r>
    </w:p>
    <w:p w:rsidR="00000000" w:rsidRPr="00072AD4" w:rsidP="00072AD4">
      <w:pPr>
        <w:pStyle w:val="ListBullet2"/>
      </w:pPr>
      <w:r w:rsidRPr="00072AD4">
        <w:t xml:space="preserve">regulators’ guidelines including ASIC Regulatory Guide (RG)146 requirements </w:t>
      </w:r>
    </w:p>
    <w:p w:rsidR="00000000" w:rsidRPr="00072AD4" w:rsidP="00072AD4">
      <w:pPr>
        <w:pStyle w:val="ListBullet2"/>
      </w:pPr>
      <w:r w:rsidRPr="00072AD4">
        <w:t>complaints resolution procedures (external and internal)</w:t>
      </w:r>
    </w:p>
    <w:p w:rsidR="00000000" w:rsidRPr="00072AD4" w:rsidP="00072AD4">
      <w:pPr>
        <w:pStyle w:val="ListBullet"/>
      </w:pPr>
      <w:r w:rsidRPr="00072AD4">
        <w:t>explain theories of investment, portfolio management and management of invest</w:t>
      </w:r>
      <w:r w:rsidRPr="00072AD4">
        <w:t>ment and risk including:</w:t>
      </w:r>
    </w:p>
    <w:p w:rsidR="00000000" w:rsidRPr="00072AD4" w:rsidP="00072AD4">
      <w:pPr>
        <w:pStyle w:val="ListBullet2"/>
      </w:pPr>
      <w:r w:rsidRPr="00072AD4">
        <w:t xml:space="preserve">investment concepts </w:t>
      </w:r>
    </w:p>
    <w:p w:rsidR="00000000" w:rsidRPr="00072AD4" w:rsidP="00072AD4">
      <w:pPr>
        <w:pStyle w:val="ListBullet2"/>
      </w:pPr>
      <w:r w:rsidRPr="00072AD4">
        <w:t xml:space="preserve">investment strategies for margin lending, including the role of cash flow and alternative investment strategies </w:t>
      </w:r>
    </w:p>
    <w:p w:rsidR="00000000" w:rsidRPr="00072AD4" w:rsidP="00072AD4">
      <w:pPr>
        <w:pStyle w:val="ListBullet2"/>
      </w:pPr>
      <w:r w:rsidRPr="00072AD4">
        <w:t xml:space="preserve">investment options using a margin lending facility </w:t>
      </w:r>
    </w:p>
    <w:p w:rsidR="00000000" w:rsidRPr="00072AD4" w:rsidP="00072AD4">
      <w:pPr>
        <w:pStyle w:val="ListBullet2"/>
      </w:pPr>
      <w:r w:rsidRPr="00072AD4">
        <w:t xml:space="preserve">identification of types of risk, including an awareness of the sensitivity of margin lending strategies to changes in interest rates and investment returns </w:t>
      </w:r>
    </w:p>
    <w:p w:rsidR="00000000" w:rsidRPr="00072AD4" w:rsidP="00072AD4">
      <w:pPr>
        <w:pStyle w:val="ListBullet2"/>
      </w:pPr>
      <w:r w:rsidRPr="00072AD4">
        <w:t xml:space="preserve">client risk profile, including an awareness of the source and stability of clients’ income source, </w:t>
      </w:r>
      <w:r w:rsidRPr="00072AD4">
        <w:t xml:space="preserve">the source of funding for the investment and risk profiles unsuited to margin lending facility products </w:t>
      </w:r>
    </w:p>
    <w:p w:rsidR="00000000" w:rsidRPr="00072AD4" w:rsidP="00072AD4">
      <w:pPr>
        <w:pStyle w:val="ListBullet2"/>
      </w:pPr>
      <w:r w:rsidRPr="00072AD4">
        <w:t xml:space="preserve">stress testing of proposed client portfolio </w:t>
      </w:r>
    </w:p>
    <w:p w:rsidR="000E19FD" w:rsidP="00072AD4">
      <w:pPr>
        <w:pStyle w:val="ListBullet2"/>
      </w:pPr>
      <w:r w:rsidRPr="00072AD4">
        <w:t>understanding of risks associated with gearing – the relationship between levels of gearing and risks, and</w:t>
      </w:r>
      <w:r w:rsidRPr="00072AD4">
        <w:t xml:space="preserve"> risks associated with double gearing</w:t>
      </w:r>
    </w:p>
    <w:p w:rsidR="000E19FD" w:rsidP="00072AD4">
      <w:pPr>
        <w:pStyle w:val="ListBullet2"/>
      </w:pPr>
    </w:p>
    <w:p w:rsidR="00000000" w:rsidRPr="00072AD4" w:rsidP="00072AD4">
      <w:pPr>
        <w:pStyle w:val="Heading1"/>
      </w:pPr>
      <w:bookmarkStart w:id="4" w:name="O_672344"/>
      <w:bookmarkEnd w:id="4"/>
      <w:r w:rsidRPr="00072AD4">
        <w:t>Assessment Conditions</w:t>
      </w:r>
    </w:p>
    <w:p w:rsidR="00000000" w:rsidRPr="00072AD4" w:rsidP="000E19FD">
      <w:pPr>
        <w:pStyle w:val="BodyText"/>
      </w:pPr>
      <w:r w:rsidRPr="00072AD4">
        <w:t>Assessment must be conducted in a safe environment where evidence gathered demonstrates consistent performance of typical activities experienced in the financial services and pro</w:t>
      </w:r>
      <w:r w:rsidRPr="00072AD4">
        <w:t>ducts advice field of work and include access to:</w:t>
      </w:r>
    </w:p>
    <w:p w:rsidR="00000000" w:rsidRPr="00072AD4" w:rsidP="00072AD4">
      <w:pPr>
        <w:pStyle w:val="ListBullet"/>
      </w:pPr>
      <w:r w:rsidRPr="00072AD4">
        <w:t>office equipment, technology, software and consumables</w:t>
      </w:r>
    </w:p>
    <w:p w:rsidR="00000000" w:rsidRPr="00072AD4" w:rsidP="00072AD4">
      <w:pPr>
        <w:pStyle w:val="ListBullet"/>
      </w:pPr>
      <w:r w:rsidRPr="00072AD4">
        <w:t>margin lending product information</w:t>
      </w:r>
    </w:p>
    <w:p w:rsidR="00000000" w:rsidRPr="00072AD4" w:rsidP="00072AD4">
      <w:pPr>
        <w:pStyle w:val="BodyText"/>
      </w:pPr>
    </w:p>
    <w:p w:rsidR="00000000" w:rsidRPr="00072AD4" w:rsidP="000E19FD">
      <w:pPr>
        <w:pStyle w:val="BodyText"/>
      </w:pPr>
      <w:r w:rsidRPr="00072AD4">
        <w:t xml:space="preserve">Assessors must satisfy NVR/AQTF assessor requirements. </w:t>
      </w:r>
    </w:p>
    <w:p w:rsidR="00000000" w:rsidRPr="00072AD4" w:rsidP="00072AD4">
      <w:pPr>
        <w:pStyle w:val="Heading1"/>
      </w:pPr>
      <w:bookmarkStart w:id="5" w:name="O_672347"/>
      <w:bookmarkEnd w:id="5"/>
      <w:r w:rsidRPr="00072AD4">
        <w:t>Links</w:t>
      </w:r>
    </w:p>
    <w:p w:rsidR="00000000" w:rsidRPr="00072AD4" w:rsidP="000E19FD">
      <w:pPr>
        <w:pStyle w:val="BodyText"/>
      </w:pPr>
      <w:r w:rsidRPr="00072AD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A2EE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72AD4" w:rsidP="00072AD4"/>
    <w:sectPr w:rsidSect="00072AD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D4" w:rsidRPr="000E19FD" w:rsidP="000E19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9FD" w:rsidP="00072A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9FD" w:rsidP="00072A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E19FD" w:rsidP="00072A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9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2AD4" w:rsidRPr="000E19FD" w:rsidP="000E19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2A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9FD" w:rsidRPr="002D2AF8" w:rsidP="00072A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FNSASICR503 Provide advice in margin lending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0E19FD" w:rsidP="00072A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061F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4807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C20E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A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2A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2A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2A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2A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2A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2A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2A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2A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2A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2A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2AD4"/>
  </w:style>
  <w:style w:type="character" w:customStyle="1" w:styleId="Heading1Char">
    <w:name w:val="Heading 1 Char"/>
    <w:basedOn w:val="DefaultParagraphFont"/>
    <w:link w:val="Heading1"/>
    <w:rsid w:val="00072A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2A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2A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72AD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2AD4"/>
    <w:rPr>
      <w:b/>
      <w:spacing w:val="0"/>
    </w:rPr>
  </w:style>
  <w:style w:type="paragraph" w:styleId="ListBullet2">
    <w:name w:val="List Bullet 2"/>
    <w:basedOn w:val="List2"/>
    <w:rsid w:val="00072A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72A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2A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2A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2A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2A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2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2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2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2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2A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2A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2A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2A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2A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2A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2A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2A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2A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2A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2A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2A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72A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2A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2A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2A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2A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2A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2A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2A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2A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2A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2A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2A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2A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2AD4"/>
    <w:rPr>
      <w:i/>
    </w:rPr>
  </w:style>
  <w:style w:type="paragraph" w:styleId="Caption">
    <w:name w:val="caption"/>
    <w:basedOn w:val="BodyText"/>
    <w:next w:val="Normal"/>
    <w:qFormat/>
    <w:rsid w:val="00072A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2A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2A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2AD4"/>
  </w:style>
  <w:style w:type="paragraph" w:styleId="TableofFigures">
    <w:name w:val="table of figures"/>
    <w:basedOn w:val="Normal"/>
    <w:next w:val="Normal"/>
    <w:semiHidden/>
    <w:rsid w:val="00072A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2A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72AD4"/>
    <w:rPr>
      <w:rFonts w:ascii="Wingdings" w:hAnsi="Wingdings"/>
    </w:rPr>
  </w:style>
  <w:style w:type="paragraph" w:customStyle="1" w:styleId="TableHeading">
    <w:name w:val="Table Heading"/>
    <w:basedOn w:val="HeadingBase"/>
    <w:rsid w:val="00072A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2AD4"/>
    <w:rPr>
      <w:color w:val="0033CC"/>
      <w:u w:val="none"/>
    </w:rPr>
  </w:style>
  <w:style w:type="paragraph" w:customStyle="1" w:styleId="BodyTextRight">
    <w:name w:val="Body Text Right"/>
    <w:basedOn w:val="BodyText"/>
    <w:rsid w:val="00072A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2A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2A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2A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2A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2A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2AD4"/>
    <w:rPr>
      <w:sz w:val="32"/>
    </w:rPr>
  </w:style>
  <w:style w:type="paragraph" w:customStyle="1" w:styleId="HeadingProcedure">
    <w:name w:val="Heading Procedure"/>
    <w:basedOn w:val="HeadingBase"/>
    <w:next w:val="Normal"/>
    <w:rsid w:val="00072A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2AD4"/>
    <w:pPr>
      <w:spacing w:before="60" w:after="60"/>
    </w:pPr>
  </w:style>
  <w:style w:type="paragraph" w:styleId="ListContinue">
    <w:name w:val="List Continue"/>
    <w:basedOn w:val="List"/>
    <w:rsid w:val="00072AD4"/>
    <w:pPr>
      <w:ind w:firstLine="0"/>
    </w:pPr>
  </w:style>
  <w:style w:type="paragraph" w:customStyle="1" w:styleId="ListNote">
    <w:name w:val="List Note"/>
    <w:basedOn w:val="List"/>
    <w:rsid w:val="00072A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2A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2A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2AD4"/>
    <w:rPr>
      <w:rFonts w:ascii="Courier New" w:hAnsi="Courier New"/>
    </w:rPr>
  </w:style>
  <w:style w:type="paragraph" w:customStyle="1" w:styleId="NoteBullet">
    <w:name w:val="Note Bullet"/>
    <w:basedOn w:val="Note"/>
    <w:rsid w:val="00072A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2A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2A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2A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2A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72A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2A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2AD4"/>
    <w:rPr>
      <w:b/>
      <w:smallCaps/>
    </w:rPr>
  </w:style>
  <w:style w:type="paragraph" w:customStyle="1" w:styleId="TableListNumber">
    <w:name w:val="Table List Number"/>
    <w:basedOn w:val="ListNumber"/>
    <w:rsid w:val="00072A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2A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2AD4"/>
    <w:pPr>
      <w:numPr>
        <w:numId w:val="9"/>
      </w:numPr>
    </w:pPr>
  </w:style>
  <w:style w:type="paragraph" w:customStyle="1" w:styleId="ListAlpha2">
    <w:name w:val="List Alpha 2"/>
    <w:basedOn w:val="List2"/>
    <w:rsid w:val="00072AD4"/>
    <w:pPr>
      <w:numPr>
        <w:numId w:val="8"/>
      </w:numPr>
    </w:pPr>
  </w:style>
  <w:style w:type="paragraph" w:styleId="List2">
    <w:name w:val="List 2"/>
    <w:basedOn w:val="BodyText"/>
    <w:rsid w:val="00072A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2A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2A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2A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2A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2A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72AD4"/>
    <w:pPr>
      <w:numPr>
        <w:numId w:val="4"/>
      </w:numPr>
    </w:pPr>
  </w:style>
  <w:style w:type="paragraph" w:styleId="ListContinue2">
    <w:name w:val="List Continue 2"/>
    <w:basedOn w:val="List2"/>
    <w:rsid w:val="00072AD4"/>
    <w:pPr>
      <w:ind w:firstLine="0"/>
    </w:pPr>
  </w:style>
  <w:style w:type="paragraph" w:styleId="ListContinue3">
    <w:name w:val="List Continue 3"/>
    <w:basedOn w:val="List3"/>
    <w:rsid w:val="00072AD4"/>
    <w:pPr>
      <w:ind w:left="1021" w:firstLine="0"/>
    </w:pPr>
  </w:style>
  <w:style w:type="paragraph" w:styleId="ListContinue4">
    <w:name w:val="List Continue 4"/>
    <w:basedOn w:val="List4"/>
    <w:rsid w:val="00072AD4"/>
    <w:pPr>
      <w:ind w:firstLine="0"/>
    </w:pPr>
  </w:style>
  <w:style w:type="paragraph" w:styleId="ListContinue5">
    <w:name w:val="List Continue 5"/>
    <w:basedOn w:val="List5"/>
    <w:rsid w:val="00072AD4"/>
    <w:pPr>
      <w:ind w:firstLine="0"/>
    </w:pPr>
  </w:style>
  <w:style w:type="paragraph" w:styleId="ListNumber3">
    <w:name w:val="List Number 3"/>
    <w:basedOn w:val="List3"/>
    <w:rsid w:val="00072AD4"/>
    <w:pPr>
      <w:numPr>
        <w:numId w:val="5"/>
      </w:numPr>
    </w:pPr>
  </w:style>
  <w:style w:type="paragraph" w:styleId="ListNumber4">
    <w:name w:val="List Number 4"/>
    <w:basedOn w:val="List4"/>
    <w:rsid w:val="00072AD4"/>
    <w:pPr>
      <w:numPr>
        <w:numId w:val="6"/>
      </w:numPr>
    </w:pPr>
  </w:style>
  <w:style w:type="paragraph" w:styleId="ListNumber5">
    <w:name w:val="List Number 5"/>
    <w:basedOn w:val="List5"/>
    <w:rsid w:val="00072AD4"/>
    <w:pPr>
      <w:numPr>
        <w:numId w:val="7"/>
      </w:numPr>
    </w:pPr>
  </w:style>
  <w:style w:type="paragraph" w:styleId="BlockText">
    <w:name w:val="Block Text"/>
    <w:basedOn w:val="Normal"/>
    <w:rsid w:val="00072A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2A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2AD4"/>
    <w:rPr>
      <w:sz w:val="16"/>
      <w:vertAlign w:val="superscript"/>
    </w:rPr>
  </w:style>
  <w:style w:type="character" w:customStyle="1" w:styleId="Symbols">
    <w:name w:val="Symbols"/>
    <w:basedOn w:val="DefaultParagraphFont"/>
    <w:rsid w:val="00072AD4"/>
    <w:rPr>
      <w:rFonts w:ascii="Symbol" w:hAnsi="Symbol"/>
    </w:rPr>
  </w:style>
  <w:style w:type="character" w:customStyle="1" w:styleId="MenuOptions">
    <w:name w:val="Menu Options"/>
    <w:basedOn w:val="DefaultParagraphFont"/>
    <w:rsid w:val="00072A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2AD4"/>
    <w:rPr>
      <w:b/>
    </w:rPr>
  </w:style>
  <w:style w:type="character" w:customStyle="1" w:styleId="Underlined">
    <w:name w:val="Underlined"/>
    <w:basedOn w:val="DefaultParagraphFont"/>
    <w:rsid w:val="00072AD4"/>
    <w:rPr>
      <w:u w:val="single"/>
    </w:rPr>
  </w:style>
  <w:style w:type="paragraph" w:customStyle="1" w:styleId="TableBodyTextRight">
    <w:name w:val="Table Body Text Right"/>
    <w:basedOn w:val="TableBodyText"/>
    <w:rsid w:val="00072A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2AD4"/>
    <w:rPr>
      <w:sz w:val="18"/>
    </w:rPr>
  </w:style>
  <w:style w:type="paragraph" w:customStyle="1" w:styleId="BodySmallRight">
    <w:name w:val="Body Small Right"/>
    <w:basedOn w:val="BodyTextRight"/>
    <w:rsid w:val="00072AD4"/>
    <w:rPr>
      <w:sz w:val="18"/>
      <w:szCs w:val="18"/>
    </w:rPr>
  </w:style>
  <w:style w:type="paragraph" w:customStyle="1" w:styleId="MarginEdition">
    <w:name w:val="Margin Edition"/>
    <w:basedOn w:val="MarginNote"/>
    <w:rsid w:val="00072A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2AD4"/>
    <w:rPr>
      <w:sz w:val="2"/>
      <w:szCs w:val="2"/>
    </w:rPr>
  </w:style>
  <w:style w:type="character" w:customStyle="1" w:styleId="Small">
    <w:name w:val="Small"/>
    <w:basedOn w:val="DefaultParagraphFont"/>
    <w:rsid w:val="00072AD4"/>
    <w:rPr>
      <w:sz w:val="16"/>
    </w:rPr>
  </w:style>
  <w:style w:type="paragraph" w:customStyle="1" w:styleId="WideTable">
    <w:name w:val="Wide Table"/>
    <w:basedOn w:val="Normal"/>
    <w:rsid w:val="00072A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2AD4"/>
  </w:style>
  <w:style w:type="paragraph" w:styleId="Quote">
    <w:name w:val="Quote"/>
    <w:basedOn w:val="Heading1"/>
    <w:link w:val="QuoteChar"/>
    <w:qFormat/>
    <w:rsid w:val="00072A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2A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2AD4"/>
    <w:pPr>
      <w:pageBreakBefore/>
    </w:pPr>
  </w:style>
  <w:style w:type="paragraph" w:customStyle="1" w:styleId="Border">
    <w:name w:val="Border"/>
    <w:basedOn w:val="Normal"/>
    <w:qFormat/>
    <w:rsid w:val="00072A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2A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2A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2A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2A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2A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2A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2A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2A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2AD4"/>
    <w:rPr>
      <w:u w:val="single"/>
    </w:rPr>
  </w:style>
  <w:style w:type="character" w:customStyle="1" w:styleId="BoldandItalics">
    <w:name w:val="Bold and Italics"/>
    <w:qFormat/>
    <w:rsid w:val="00072AD4"/>
    <w:rPr>
      <w:b/>
      <w:i/>
      <w:u w:val="none"/>
    </w:rPr>
  </w:style>
  <w:style w:type="paragraph" w:styleId="BalloonText">
    <w:name w:val="Balloon Text"/>
    <w:basedOn w:val="Normal"/>
    <w:link w:val="BalloonTextChar"/>
    <w:rsid w:val="00072A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2A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2A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2A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2A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2A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2AD4"/>
    <w:pPr>
      <w:spacing w:before="0" w:after="0"/>
    </w:pPr>
  </w:style>
  <w:style w:type="paragraph" w:customStyle="1" w:styleId="BodyTextBold">
    <w:name w:val="Body Text Bold"/>
    <w:basedOn w:val="BodyText"/>
    <w:qFormat/>
    <w:rsid w:val="00072AD4"/>
    <w:rPr>
      <w:b/>
    </w:rPr>
  </w:style>
  <w:style w:type="character" w:styleId="Hyperlink">
    <w:name w:val="Hyperlink"/>
    <w:basedOn w:val="DefaultParagraphFont"/>
    <w:uiPriority w:val="99"/>
    <w:unhideWhenUsed/>
    <w:rsid w:val="000E19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683</Words>
  <Characters>4515</Characters>
  <Application>Microsoft Office Word</Application>
  <DocSecurity>0</DocSecurity>
  <Lines>107</Lines>
  <Paragraphs>78</Paragraphs>
  <ScaleCrop>false</ScaleCrop>
  <Company>Author-it Software Corporation Ltd.</Company>
  <LinksUpToDate>false</LinksUpToDate>
  <CharactersWithSpaces>5120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FNSASICR503 Provide advice in margin lending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2020-06-30T16:20:00Z</dcterms:created>
  <dcterms:modified xsi:type="dcterms:W3CDTF">2020-06-30T16:20:00Z</dcterms:modified>
</cp:coreProperties>
</file>