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1D25" w:rsidP="00771D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FNSASICQ503 Provide advice in first home saver market linked accounts</w:t>
      </w:r>
      <w:r>
        <w:fldChar w:fldCharType="end"/>
      </w:r>
    </w:p>
    <w:p w:rsidR="00771D25" w:rsidP="00771D25">
      <w:pPr>
        <w:pStyle w:val="Version"/>
        <w:sectPr w:rsidSect="009217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7F7" w:rsidP="009217F7">
      <w:pPr>
        <w:pStyle w:val="SuperHeading"/>
      </w:pPr>
      <w:r w:rsidRPr="009217F7">
        <w:t>Assessment Requirements for FNSASICQ503 Provide advice in first home saver market linked accounts</w:t>
      </w:r>
    </w:p>
    <w:p w:rsidR="00000000" w:rsidRPr="009217F7" w:rsidP="009217F7">
      <w:pPr>
        <w:pStyle w:val="Heading1"/>
      </w:pPr>
      <w:bookmarkStart w:id="1" w:name="O_672284"/>
      <w:bookmarkEnd w:id="1"/>
      <w:r w:rsidRPr="009217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21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F7" w:rsidP="009217F7">
            <w:pPr>
              <w:pStyle w:val="BodyText"/>
            </w:pPr>
            <w:r w:rsidRPr="009217F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F7">
            <w:pPr>
              <w:pStyle w:val="BodyText"/>
              <w:rPr>
                <w:lang w:val="en-NZ"/>
              </w:rPr>
            </w:pPr>
            <w:r w:rsidRPr="009217F7">
              <w:rPr>
                <w:rStyle w:val="SpecialBold"/>
              </w:rPr>
              <w:t>Comments</w:t>
            </w:r>
          </w:p>
        </w:tc>
      </w:tr>
      <w:tr w:rsidTr="00921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F7">
            <w:pPr>
              <w:pStyle w:val="BodyText"/>
              <w:rPr>
                <w:lang w:val="en-NZ"/>
              </w:rPr>
            </w:pPr>
            <w:r w:rsidRPr="009217F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F7" w:rsidP="009217F7">
            <w:pPr>
              <w:pStyle w:val="BodyText"/>
            </w:pPr>
            <w:r w:rsidRPr="009217F7">
              <w:t>This version first released with FNS Financial Services Training Package Version 1.0.</w:t>
            </w:r>
          </w:p>
        </w:tc>
      </w:tr>
    </w:tbl>
    <w:p w:rsidR="00000000" w:rsidRPr="009217F7" w:rsidP="009217F7">
      <w:pPr>
        <w:pStyle w:val="BodyText"/>
      </w:pPr>
    </w:p>
    <w:p w:rsidR="00000000" w:rsidRPr="009217F7" w:rsidP="009217F7">
      <w:pPr>
        <w:pStyle w:val="AllowPageBreak"/>
      </w:pPr>
    </w:p>
    <w:p w:rsidR="00000000" w:rsidRPr="009217F7" w:rsidP="009217F7">
      <w:pPr>
        <w:pStyle w:val="Heading1"/>
      </w:pPr>
      <w:bookmarkStart w:id="2" w:name="O_672285"/>
      <w:bookmarkEnd w:id="2"/>
      <w:r w:rsidRPr="009217F7">
        <w:t>Performance Evidence</w:t>
      </w:r>
    </w:p>
    <w:p w:rsidR="00000000" w:rsidRPr="009217F7" w:rsidP="00771D25">
      <w:pPr>
        <w:pStyle w:val="BodyText"/>
      </w:pPr>
      <w:r w:rsidRPr="009217F7">
        <w:t>Evidence of the ability to:</w:t>
      </w:r>
    </w:p>
    <w:p w:rsidR="00000000" w:rsidRPr="009217F7" w:rsidP="009217F7">
      <w:pPr>
        <w:pStyle w:val="ListBullet"/>
      </w:pPr>
      <w:r w:rsidRPr="009217F7">
        <w:t>interpret and comply with industry regulations and codes of practice</w:t>
      </w:r>
    </w:p>
    <w:p w:rsidR="00000000" w:rsidRPr="009217F7" w:rsidP="009217F7">
      <w:pPr>
        <w:pStyle w:val="ListBullet"/>
      </w:pPr>
      <w:r w:rsidRPr="009217F7">
        <w:t>analyse client needs and advise client ethically and accurately about first home saver market linked account products and</w:t>
      </w:r>
      <w:r w:rsidRPr="009217F7">
        <w:t xml:space="preserve"> services</w:t>
      </w:r>
    </w:p>
    <w:p w:rsidR="00000000" w:rsidRPr="009217F7" w:rsidP="009217F7">
      <w:pPr>
        <w:pStyle w:val="ListBullet"/>
      </w:pPr>
      <w:r w:rsidRPr="009217F7">
        <w:t>assess the impacts of taxation on client’s financial requirements for specific products offered.</w:t>
      </w:r>
    </w:p>
    <w:p w:rsidR="00000000" w:rsidRPr="009217F7" w:rsidP="00771D25">
      <w:pPr>
        <w:pStyle w:val="BodyText"/>
      </w:pPr>
      <w:r w:rsidRPr="009217F7">
        <w:br/>
        <w:t>Note: If a specific volume or frequency is not stated, then evidence must be provided at least once.</w:t>
      </w:r>
    </w:p>
    <w:p w:rsidR="00000000" w:rsidRPr="009217F7" w:rsidP="009217F7">
      <w:pPr>
        <w:pStyle w:val="AllowPageBreak"/>
      </w:pPr>
    </w:p>
    <w:p w:rsidR="00000000" w:rsidRPr="009217F7" w:rsidP="009217F7">
      <w:pPr>
        <w:pStyle w:val="Heading1"/>
      </w:pPr>
      <w:bookmarkStart w:id="3" w:name="O_672286"/>
      <w:bookmarkEnd w:id="3"/>
      <w:r w:rsidRPr="009217F7">
        <w:t>Knowledge Evidence</w:t>
      </w:r>
    </w:p>
    <w:p w:rsidR="00000000" w:rsidRPr="009217F7" w:rsidP="00771D25">
      <w:pPr>
        <w:pStyle w:val="BodyText"/>
      </w:pPr>
      <w:r w:rsidRPr="009217F7">
        <w:t>To complete the unit requirements safely and effectively, the individual must satisfy generic and specialist knowledge requirements relevant to the products and activities in which advice is given.</w:t>
      </w:r>
    </w:p>
    <w:p w:rsidR="00000000" w:rsidRPr="009217F7" w:rsidP="00771D25">
      <w:pPr>
        <w:pStyle w:val="Heading3"/>
      </w:pPr>
      <w:r w:rsidRPr="009217F7">
        <w:rPr>
          <w:rStyle w:val="SpecialBold"/>
        </w:rPr>
        <w:t xml:space="preserve">Generic knowledge </w:t>
      </w:r>
    </w:p>
    <w:p w:rsidR="00000000" w:rsidRPr="009217F7" w:rsidP="009217F7">
      <w:pPr>
        <w:pStyle w:val="ListBullet"/>
      </w:pPr>
      <w:r w:rsidRPr="009217F7">
        <w:t>analyse and provide an overview of th</w:t>
      </w:r>
      <w:r w:rsidRPr="009217F7">
        <w:t>e economic environment including:</w:t>
      </w:r>
    </w:p>
    <w:p w:rsidR="00000000" w:rsidRPr="009217F7" w:rsidP="009217F7">
      <w:pPr>
        <w:pStyle w:val="ListBullet2"/>
      </w:pPr>
      <w:r w:rsidRPr="009217F7">
        <w:t>characteristics and impact of economic and business cycles</w:t>
      </w:r>
    </w:p>
    <w:p w:rsidR="00000000" w:rsidRPr="009217F7" w:rsidP="009217F7">
      <w:pPr>
        <w:pStyle w:val="ListBullet2"/>
      </w:pPr>
      <w:r w:rsidRPr="009217F7">
        <w:t>interest rates and exchange rates</w:t>
      </w:r>
    </w:p>
    <w:p w:rsidR="00000000" w:rsidRPr="009217F7" w:rsidP="009217F7">
      <w:pPr>
        <w:pStyle w:val="ListBullet2"/>
      </w:pPr>
      <w:r w:rsidRPr="009217F7">
        <w:t>inflation</w:t>
      </w:r>
    </w:p>
    <w:p w:rsidR="00000000" w:rsidRPr="009217F7" w:rsidP="009217F7">
      <w:pPr>
        <w:pStyle w:val="ListBullet2"/>
      </w:pPr>
      <w:r w:rsidRPr="009217F7">
        <w:t>government monetary and fiscal policy</w:t>
      </w:r>
    </w:p>
    <w:p w:rsidR="00000000" w:rsidRPr="009217F7" w:rsidP="009217F7">
      <w:pPr>
        <w:pStyle w:val="ListBullet"/>
      </w:pPr>
      <w:r w:rsidRPr="009217F7">
        <w:t>analyse and provide a detailed explanation of the operation of financial market</w:t>
      </w:r>
      <w:r w:rsidRPr="009217F7">
        <w:t>s including:</w:t>
      </w:r>
    </w:p>
    <w:p w:rsidR="00000000" w:rsidRPr="009217F7" w:rsidP="009217F7">
      <w:pPr>
        <w:pStyle w:val="ListBullet2"/>
      </w:pPr>
      <w:r w:rsidRPr="009217F7">
        <w:t>roles played by intermediaries and issuers</w:t>
      </w:r>
    </w:p>
    <w:p w:rsidR="00000000" w:rsidRPr="009217F7" w:rsidP="009217F7">
      <w:pPr>
        <w:pStyle w:val="ListBullet2"/>
      </w:pPr>
      <w:r w:rsidRPr="009217F7">
        <w:t>structure and interrelationships within the financial markets</w:t>
      </w:r>
    </w:p>
    <w:p w:rsidR="00000000" w:rsidRPr="009217F7" w:rsidP="009217F7">
      <w:pPr>
        <w:pStyle w:val="ListBullet2"/>
      </w:pPr>
      <w:r w:rsidRPr="009217F7">
        <w:t xml:space="preserve">interrelationship between industry sectors </w:t>
      </w:r>
    </w:p>
    <w:p w:rsidR="00000000" w:rsidRPr="009217F7" w:rsidP="009217F7">
      <w:pPr>
        <w:pStyle w:val="ListBullet"/>
      </w:pPr>
      <w:r w:rsidRPr="009217F7">
        <w:t>outline financial products including:</w:t>
      </w:r>
    </w:p>
    <w:p w:rsidR="00000000" w:rsidRPr="009217F7" w:rsidP="009217F7">
      <w:pPr>
        <w:pStyle w:val="ListBullet2"/>
      </w:pPr>
      <w:r w:rsidRPr="009217F7">
        <w:t>concept of a financial product –</w:t>
      </w:r>
      <w:r w:rsidRPr="009217F7">
        <w:t xml:space="preserve"> general definition, and specific inclusions and exclusions</w:t>
      </w:r>
    </w:p>
    <w:p w:rsidR="00000000" w:rsidRPr="009217F7" w:rsidP="009217F7">
      <w:pPr>
        <w:pStyle w:val="ListBullet2"/>
      </w:pPr>
      <w:r w:rsidRPr="009217F7">
        <w:t>types of financial investment products</w:t>
      </w:r>
    </w:p>
    <w:p w:rsidR="00000000" w:rsidRPr="009217F7" w:rsidP="009217F7">
      <w:pPr>
        <w:pStyle w:val="ListBullet2"/>
      </w:pPr>
      <w:r w:rsidRPr="009217F7">
        <w:t>types of financial risk products.</w:t>
      </w:r>
    </w:p>
    <w:p w:rsidR="00000000" w:rsidRPr="009217F7" w:rsidP="009217F7">
      <w:pPr>
        <w:pStyle w:val="BodyText"/>
      </w:pPr>
    </w:p>
    <w:p w:rsidR="00000000" w:rsidRPr="009217F7" w:rsidP="00771D25">
      <w:pPr>
        <w:pStyle w:val="Heading3"/>
      </w:pPr>
      <w:r w:rsidRPr="009217F7">
        <w:rPr>
          <w:rStyle w:val="SpecialBold"/>
        </w:rPr>
        <w:t>Specialist knowledge</w:t>
      </w:r>
    </w:p>
    <w:p w:rsidR="00000000" w:rsidRPr="009217F7" w:rsidP="009217F7">
      <w:pPr>
        <w:pStyle w:val="ListBullet"/>
      </w:pPr>
      <w:r w:rsidRPr="009217F7">
        <w:t>explain the types, characteristics and associated risks of first home saver account products</w:t>
      </w:r>
    </w:p>
    <w:p w:rsidR="00000000" w:rsidRPr="009217F7" w:rsidP="009217F7">
      <w:pPr>
        <w:pStyle w:val="ListBullet"/>
      </w:pPr>
      <w:r w:rsidRPr="009217F7">
        <w:t>describ</w:t>
      </w:r>
      <w:r w:rsidRPr="009217F7">
        <w:t>e types of alternative products including managed investments, life insurance and deposit products</w:t>
      </w:r>
    </w:p>
    <w:p w:rsidR="00000000" w:rsidRPr="009217F7" w:rsidP="009217F7">
      <w:pPr>
        <w:pStyle w:val="ListBullet"/>
      </w:pPr>
      <w:r w:rsidRPr="009217F7">
        <w:t>outline product characteristics including:</w:t>
      </w:r>
    </w:p>
    <w:p w:rsidR="00000000" w:rsidRPr="009217F7" w:rsidP="009217F7">
      <w:pPr>
        <w:pStyle w:val="ListBullet2"/>
      </w:pPr>
      <w:r w:rsidRPr="009217F7">
        <w:t>eligibility requirements</w:t>
      </w:r>
    </w:p>
    <w:p w:rsidR="00000000" w:rsidRPr="009217F7" w:rsidP="009217F7">
      <w:pPr>
        <w:pStyle w:val="ListBullet2"/>
      </w:pPr>
      <w:r w:rsidRPr="009217F7">
        <w:t xml:space="preserve">withdrawal conditions </w:t>
      </w:r>
    </w:p>
    <w:p w:rsidR="00000000" w:rsidRPr="009217F7" w:rsidP="009217F7">
      <w:pPr>
        <w:pStyle w:val="ListBullet2"/>
      </w:pPr>
      <w:r w:rsidRPr="009217F7">
        <w:t>government contributions</w:t>
      </w:r>
    </w:p>
    <w:p w:rsidR="00000000" w:rsidRPr="009217F7" w:rsidP="009217F7">
      <w:pPr>
        <w:pStyle w:val="ListBullet2"/>
      </w:pPr>
      <w:r w:rsidRPr="009217F7">
        <w:t>cooling-off period</w:t>
      </w:r>
    </w:p>
    <w:p w:rsidR="00000000" w:rsidRPr="009217F7" w:rsidP="009217F7">
      <w:pPr>
        <w:pStyle w:val="ListBullet2"/>
      </w:pPr>
      <w:r w:rsidRPr="009217F7">
        <w:t>interest paid includi</w:t>
      </w:r>
      <w:r w:rsidRPr="009217F7">
        <w:t>ng institution, and fees and charges</w:t>
      </w:r>
    </w:p>
    <w:p w:rsidR="00000000" w:rsidRPr="009217F7" w:rsidP="009217F7">
      <w:pPr>
        <w:pStyle w:val="ListBullet2"/>
      </w:pPr>
      <w:r w:rsidRPr="009217F7">
        <w:t>non-cash payments (direct debit, external funds transfer (EFT), auto transfer</w:t>
      </w:r>
    </w:p>
    <w:p w:rsidR="00000000" w:rsidRPr="009217F7" w:rsidP="009217F7">
      <w:pPr>
        <w:pStyle w:val="ListBullet2"/>
      </w:pPr>
      <w:r w:rsidRPr="009217F7">
        <w:t>specific inclusions and exclusions</w:t>
      </w:r>
    </w:p>
    <w:p w:rsidR="00000000" w:rsidRPr="009217F7" w:rsidP="009217F7">
      <w:pPr>
        <w:pStyle w:val="ListBullet"/>
      </w:pPr>
      <w:r w:rsidRPr="009217F7">
        <w:t xml:space="preserve">discuss the operation of first home saver market institutions </w:t>
      </w:r>
    </w:p>
    <w:p w:rsidR="00000000" w:rsidRPr="009217F7" w:rsidP="009217F7">
      <w:pPr>
        <w:pStyle w:val="ListBullet"/>
      </w:pPr>
      <w:r w:rsidRPr="009217F7">
        <w:t>outline taxation issues in relation to first home saver market linked financial products and markets in which they operate</w:t>
      </w:r>
    </w:p>
    <w:p w:rsidR="00000000" w:rsidRPr="009217F7" w:rsidP="009217F7">
      <w:pPr>
        <w:pStyle w:val="ListBullet"/>
      </w:pPr>
      <w:r w:rsidRPr="009217F7">
        <w:t>discuss the legal environment including disclosure and compliance covering:</w:t>
      </w:r>
    </w:p>
    <w:p w:rsidR="00000000" w:rsidRPr="009217F7" w:rsidP="009217F7">
      <w:pPr>
        <w:pStyle w:val="ListBullet2"/>
      </w:pPr>
      <w:r w:rsidRPr="009217F7">
        <w:t>role of the representative or adviser</w:t>
      </w:r>
    </w:p>
    <w:p w:rsidR="00000000" w:rsidRPr="009217F7" w:rsidP="009217F7">
      <w:pPr>
        <w:pStyle w:val="ListBullet2"/>
      </w:pPr>
      <w:r w:rsidRPr="009217F7">
        <w:t>relevant legal pri</w:t>
      </w:r>
      <w:r w:rsidRPr="009217F7">
        <w:t>nciples relating to the Corporations Act, Australian Securities and Investments Commission (ASIC) Act, Privacy Amendment (Private Sector) Act, Financial Services Reform Act (FSRA) and Competition and Consumer Act</w:t>
      </w:r>
    </w:p>
    <w:p w:rsidR="00000000" w:rsidRPr="009217F7" w:rsidP="009217F7">
      <w:pPr>
        <w:pStyle w:val="ListBullet2"/>
      </w:pPr>
      <w:r w:rsidRPr="009217F7">
        <w:t xml:space="preserve">relationship between ethics and regulatory </w:t>
      </w:r>
      <w:r w:rsidRPr="009217F7">
        <w:t>requirements including good faith, faith, utmost good faith, full disclosure of remuneration and fees, and any other conflicts of interest which may influence the adviser</w:t>
      </w:r>
      <w:r>
        <w:t>’</w:t>
      </w:r>
      <w:r w:rsidRPr="009217F7">
        <w:t>s recommendation</w:t>
      </w:r>
    </w:p>
    <w:p w:rsidR="00000000" w:rsidRPr="009217F7" w:rsidP="009217F7">
      <w:pPr>
        <w:pStyle w:val="ListBullet2"/>
      </w:pPr>
      <w:r w:rsidRPr="009217F7">
        <w:t xml:space="preserve">relevant industry standards and codes of conduct </w:t>
      </w:r>
    </w:p>
    <w:p w:rsidR="00000000" w:rsidRPr="009217F7" w:rsidP="009217F7">
      <w:pPr>
        <w:pStyle w:val="ListBullet2"/>
      </w:pPr>
      <w:r w:rsidRPr="009217F7">
        <w:t>regulators’ guidel</w:t>
      </w:r>
      <w:r w:rsidRPr="009217F7">
        <w:t xml:space="preserve">ines including ASIC Regulatory Guide (RG)146 requirements </w:t>
      </w:r>
    </w:p>
    <w:p w:rsidR="00000000" w:rsidRPr="009217F7" w:rsidP="009217F7">
      <w:pPr>
        <w:pStyle w:val="ListBullet2"/>
      </w:pPr>
      <w:r w:rsidRPr="009217F7">
        <w:t>complaints resolution procedures (external and internal).</w:t>
      </w:r>
    </w:p>
    <w:p w:rsidR="00000000" w:rsidRPr="009217F7" w:rsidP="009217F7">
      <w:pPr>
        <w:pStyle w:val="AllowPageBreak"/>
      </w:pPr>
    </w:p>
    <w:p w:rsidR="00000000" w:rsidRPr="009217F7" w:rsidP="009217F7">
      <w:pPr>
        <w:pStyle w:val="Heading1"/>
      </w:pPr>
      <w:bookmarkStart w:id="4" w:name="O_672287"/>
      <w:bookmarkEnd w:id="4"/>
      <w:r w:rsidRPr="009217F7">
        <w:t>Assessment Conditions</w:t>
      </w:r>
    </w:p>
    <w:p w:rsidR="00000000" w:rsidRPr="009217F7" w:rsidP="00771D25">
      <w:pPr>
        <w:pStyle w:val="BodyText"/>
      </w:pPr>
      <w:r w:rsidRPr="009217F7">
        <w:t>Assessment must be conducted in a safe environment where evidence gathered demonstrates consistent p</w:t>
      </w:r>
      <w:r w:rsidRPr="009217F7">
        <w:t>erformance of typical activities experienced in the financial services and products advice field of work and include access to:</w:t>
      </w:r>
    </w:p>
    <w:p w:rsidR="00000000" w:rsidRPr="009217F7" w:rsidP="009217F7">
      <w:pPr>
        <w:pStyle w:val="ListBullet"/>
      </w:pPr>
      <w:r w:rsidRPr="009217F7">
        <w:t>office equipment, technology, software and consumables</w:t>
      </w:r>
    </w:p>
    <w:p w:rsidR="00000000" w:rsidRPr="009217F7" w:rsidP="009217F7">
      <w:pPr>
        <w:pStyle w:val="ListBullet"/>
      </w:pPr>
      <w:r w:rsidRPr="009217F7">
        <w:t>financial services first home saver market linked accounts product information.</w:t>
      </w:r>
    </w:p>
    <w:p w:rsidR="00000000" w:rsidRPr="009217F7" w:rsidP="009217F7">
      <w:pPr>
        <w:pStyle w:val="BodyText"/>
      </w:pPr>
    </w:p>
    <w:p w:rsidR="00000000" w:rsidRPr="009217F7" w:rsidP="00771D25">
      <w:pPr>
        <w:pStyle w:val="BodyText"/>
      </w:pPr>
      <w:r w:rsidRPr="009217F7">
        <w:t>Assessors must satisfy NVR/AQTF assessor requirements.</w:t>
      </w:r>
    </w:p>
    <w:p w:rsidR="00000000" w:rsidRPr="009217F7" w:rsidP="009217F7">
      <w:pPr>
        <w:pStyle w:val="Heading1"/>
      </w:pPr>
      <w:bookmarkStart w:id="5" w:name="O_672290"/>
      <w:bookmarkEnd w:id="5"/>
      <w:r w:rsidRPr="009217F7">
        <w:t>Links</w:t>
      </w:r>
    </w:p>
    <w:p w:rsidR="00000000" w:rsidRPr="009217F7" w:rsidP="00771D25">
      <w:pPr>
        <w:pStyle w:val="BodyText"/>
      </w:pPr>
      <w:r w:rsidRPr="009217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7135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217F7" w:rsidP="009217F7"/>
    <w:sectPr w:rsidSect="009217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F7" w:rsidRPr="00771D25" w:rsidP="00771D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25" w:rsidP="009217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1D25" w:rsidP="009217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1D25" w:rsidP="009217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7F7" w:rsidRPr="00771D25" w:rsidP="00771D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25" w:rsidRPr="002D2AF8" w:rsidP="009217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FNSASICQ503 Provide advice in first home saver market linked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771D25" w:rsidP="009217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5E08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8AA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EE23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7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7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7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7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7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7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7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7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7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7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7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7F7"/>
  </w:style>
  <w:style w:type="character" w:customStyle="1" w:styleId="Heading1Char">
    <w:name w:val="Heading 1 Char"/>
    <w:basedOn w:val="DefaultParagraphFont"/>
    <w:link w:val="Heading1"/>
    <w:rsid w:val="009217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7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7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7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17F7"/>
    <w:rPr>
      <w:b/>
      <w:spacing w:val="0"/>
    </w:rPr>
  </w:style>
  <w:style w:type="paragraph" w:styleId="ListBullet2">
    <w:name w:val="List Bullet 2"/>
    <w:basedOn w:val="List2"/>
    <w:rsid w:val="009217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17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7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7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7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7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7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7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7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7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7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7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7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7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7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7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7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7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7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7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7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7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7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7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17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7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7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7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7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7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7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7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7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17F7"/>
    <w:rPr>
      <w:i/>
    </w:rPr>
  </w:style>
  <w:style w:type="paragraph" w:styleId="Caption">
    <w:name w:val="caption"/>
    <w:basedOn w:val="BodyText"/>
    <w:next w:val="Normal"/>
    <w:qFormat/>
    <w:rsid w:val="009217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7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7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7F7"/>
  </w:style>
  <w:style w:type="paragraph" w:styleId="TableofFigures">
    <w:name w:val="table of figures"/>
    <w:basedOn w:val="Normal"/>
    <w:next w:val="Normal"/>
    <w:semiHidden/>
    <w:rsid w:val="009217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7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17F7"/>
    <w:rPr>
      <w:rFonts w:ascii="Wingdings" w:hAnsi="Wingdings"/>
    </w:rPr>
  </w:style>
  <w:style w:type="paragraph" w:customStyle="1" w:styleId="TableHeading">
    <w:name w:val="Table Heading"/>
    <w:basedOn w:val="HeadingBase"/>
    <w:rsid w:val="009217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7F7"/>
    <w:rPr>
      <w:color w:val="0033CC"/>
      <w:u w:val="none"/>
    </w:rPr>
  </w:style>
  <w:style w:type="paragraph" w:customStyle="1" w:styleId="BodyTextRight">
    <w:name w:val="Body Text Right"/>
    <w:basedOn w:val="BodyText"/>
    <w:rsid w:val="009217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7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7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7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7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7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7F7"/>
    <w:rPr>
      <w:sz w:val="32"/>
    </w:rPr>
  </w:style>
  <w:style w:type="paragraph" w:customStyle="1" w:styleId="HeadingProcedure">
    <w:name w:val="Heading Procedure"/>
    <w:basedOn w:val="HeadingBase"/>
    <w:next w:val="Normal"/>
    <w:rsid w:val="009217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7F7"/>
    <w:pPr>
      <w:spacing w:before="60" w:after="60"/>
    </w:pPr>
  </w:style>
  <w:style w:type="paragraph" w:styleId="ListContinue">
    <w:name w:val="List Continue"/>
    <w:basedOn w:val="List"/>
    <w:rsid w:val="009217F7"/>
    <w:pPr>
      <w:ind w:firstLine="0"/>
    </w:pPr>
  </w:style>
  <w:style w:type="paragraph" w:customStyle="1" w:styleId="ListNote">
    <w:name w:val="List Note"/>
    <w:basedOn w:val="List"/>
    <w:rsid w:val="009217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7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7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7F7"/>
    <w:rPr>
      <w:rFonts w:ascii="Courier New" w:hAnsi="Courier New"/>
    </w:rPr>
  </w:style>
  <w:style w:type="paragraph" w:customStyle="1" w:styleId="NoteBullet">
    <w:name w:val="Note Bullet"/>
    <w:basedOn w:val="Note"/>
    <w:rsid w:val="009217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7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7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7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7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17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7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7F7"/>
    <w:rPr>
      <w:b/>
      <w:smallCaps/>
    </w:rPr>
  </w:style>
  <w:style w:type="paragraph" w:customStyle="1" w:styleId="TableListNumber">
    <w:name w:val="Table List Number"/>
    <w:basedOn w:val="ListNumber"/>
    <w:rsid w:val="009217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7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7F7"/>
    <w:pPr>
      <w:numPr>
        <w:numId w:val="9"/>
      </w:numPr>
    </w:pPr>
  </w:style>
  <w:style w:type="paragraph" w:customStyle="1" w:styleId="ListAlpha2">
    <w:name w:val="List Alpha 2"/>
    <w:basedOn w:val="List2"/>
    <w:rsid w:val="009217F7"/>
    <w:pPr>
      <w:numPr>
        <w:numId w:val="8"/>
      </w:numPr>
    </w:pPr>
  </w:style>
  <w:style w:type="paragraph" w:styleId="List2">
    <w:name w:val="List 2"/>
    <w:basedOn w:val="BodyText"/>
    <w:rsid w:val="009217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7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7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7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7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7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17F7"/>
    <w:pPr>
      <w:numPr>
        <w:numId w:val="4"/>
      </w:numPr>
    </w:pPr>
  </w:style>
  <w:style w:type="paragraph" w:styleId="ListContinue2">
    <w:name w:val="List Continue 2"/>
    <w:basedOn w:val="List2"/>
    <w:rsid w:val="009217F7"/>
    <w:pPr>
      <w:ind w:firstLine="0"/>
    </w:pPr>
  </w:style>
  <w:style w:type="paragraph" w:styleId="ListContinue3">
    <w:name w:val="List Continue 3"/>
    <w:basedOn w:val="List3"/>
    <w:rsid w:val="009217F7"/>
    <w:pPr>
      <w:ind w:left="1021" w:firstLine="0"/>
    </w:pPr>
  </w:style>
  <w:style w:type="paragraph" w:styleId="ListContinue4">
    <w:name w:val="List Continue 4"/>
    <w:basedOn w:val="List4"/>
    <w:rsid w:val="009217F7"/>
    <w:pPr>
      <w:ind w:firstLine="0"/>
    </w:pPr>
  </w:style>
  <w:style w:type="paragraph" w:styleId="ListContinue5">
    <w:name w:val="List Continue 5"/>
    <w:basedOn w:val="List5"/>
    <w:rsid w:val="009217F7"/>
    <w:pPr>
      <w:ind w:firstLine="0"/>
    </w:pPr>
  </w:style>
  <w:style w:type="paragraph" w:styleId="ListNumber3">
    <w:name w:val="List Number 3"/>
    <w:basedOn w:val="List3"/>
    <w:rsid w:val="009217F7"/>
    <w:pPr>
      <w:numPr>
        <w:numId w:val="5"/>
      </w:numPr>
    </w:pPr>
  </w:style>
  <w:style w:type="paragraph" w:styleId="ListNumber4">
    <w:name w:val="List Number 4"/>
    <w:basedOn w:val="List4"/>
    <w:rsid w:val="009217F7"/>
    <w:pPr>
      <w:numPr>
        <w:numId w:val="6"/>
      </w:numPr>
    </w:pPr>
  </w:style>
  <w:style w:type="paragraph" w:styleId="ListNumber5">
    <w:name w:val="List Number 5"/>
    <w:basedOn w:val="List5"/>
    <w:rsid w:val="009217F7"/>
    <w:pPr>
      <w:numPr>
        <w:numId w:val="7"/>
      </w:numPr>
    </w:pPr>
  </w:style>
  <w:style w:type="paragraph" w:styleId="BlockText">
    <w:name w:val="Block Text"/>
    <w:basedOn w:val="Normal"/>
    <w:rsid w:val="009217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7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7F7"/>
    <w:rPr>
      <w:sz w:val="16"/>
      <w:vertAlign w:val="superscript"/>
    </w:rPr>
  </w:style>
  <w:style w:type="character" w:customStyle="1" w:styleId="Symbols">
    <w:name w:val="Symbols"/>
    <w:basedOn w:val="DefaultParagraphFont"/>
    <w:rsid w:val="009217F7"/>
    <w:rPr>
      <w:rFonts w:ascii="Symbol" w:hAnsi="Symbol"/>
    </w:rPr>
  </w:style>
  <w:style w:type="character" w:customStyle="1" w:styleId="MenuOptions">
    <w:name w:val="Menu Options"/>
    <w:basedOn w:val="DefaultParagraphFont"/>
    <w:rsid w:val="009217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7F7"/>
    <w:rPr>
      <w:b/>
    </w:rPr>
  </w:style>
  <w:style w:type="character" w:customStyle="1" w:styleId="Underlined">
    <w:name w:val="Underlined"/>
    <w:basedOn w:val="DefaultParagraphFont"/>
    <w:rsid w:val="009217F7"/>
    <w:rPr>
      <w:u w:val="single"/>
    </w:rPr>
  </w:style>
  <w:style w:type="paragraph" w:customStyle="1" w:styleId="TableBodyTextRight">
    <w:name w:val="Table Body Text Right"/>
    <w:basedOn w:val="TableBodyText"/>
    <w:rsid w:val="009217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7F7"/>
    <w:rPr>
      <w:sz w:val="18"/>
    </w:rPr>
  </w:style>
  <w:style w:type="paragraph" w:customStyle="1" w:styleId="BodySmallRight">
    <w:name w:val="Body Small Right"/>
    <w:basedOn w:val="BodyTextRight"/>
    <w:rsid w:val="009217F7"/>
    <w:rPr>
      <w:sz w:val="18"/>
      <w:szCs w:val="18"/>
    </w:rPr>
  </w:style>
  <w:style w:type="paragraph" w:customStyle="1" w:styleId="MarginEdition">
    <w:name w:val="Margin Edition"/>
    <w:basedOn w:val="MarginNote"/>
    <w:rsid w:val="009217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7F7"/>
    <w:rPr>
      <w:sz w:val="2"/>
      <w:szCs w:val="2"/>
    </w:rPr>
  </w:style>
  <w:style w:type="character" w:customStyle="1" w:styleId="Small">
    <w:name w:val="Small"/>
    <w:basedOn w:val="DefaultParagraphFont"/>
    <w:rsid w:val="009217F7"/>
    <w:rPr>
      <w:sz w:val="16"/>
    </w:rPr>
  </w:style>
  <w:style w:type="paragraph" w:customStyle="1" w:styleId="WideTable">
    <w:name w:val="Wide Table"/>
    <w:basedOn w:val="Normal"/>
    <w:rsid w:val="009217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7F7"/>
  </w:style>
  <w:style w:type="paragraph" w:styleId="Quote">
    <w:name w:val="Quote"/>
    <w:basedOn w:val="Heading1"/>
    <w:link w:val="QuoteChar"/>
    <w:qFormat/>
    <w:rsid w:val="009217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7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7F7"/>
    <w:pPr>
      <w:pageBreakBefore/>
    </w:pPr>
  </w:style>
  <w:style w:type="paragraph" w:customStyle="1" w:styleId="Border">
    <w:name w:val="Border"/>
    <w:basedOn w:val="Normal"/>
    <w:qFormat/>
    <w:rsid w:val="009217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7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7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7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7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7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7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7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7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7F7"/>
    <w:rPr>
      <w:u w:val="single"/>
    </w:rPr>
  </w:style>
  <w:style w:type="character" w:customStyle="1" w:styleId="BoldandItalics">
    <w:name w:val="Bold and Italics"/>
    <w:qFormat/>
    <w:rsid w:val="009217F7"/>
    <w:rPr>
      <w:b/>
      <w:i/>
      <w:u w:val="none"/>
    </w:rPr>
  </w:style>
  <w:style w:type="paragraph" w:styleId="BalloonText">
    <w:name w:val="Balloon Text"/>
    <w:basedOn w:val="Normal"/>
    <w:link w:val="BalloonTextChar"/>
    <w:rsid w:val="009217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7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7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7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7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7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7F7"/>
    <w:pPr>
      <w:spacing w:before="0" w:after="0"/>
    </w:pPr>
  </w:style>
  <w:style w:type="paragraph" w:customStyle="1" w:styleId="BodyTextBold">
    <w:name w:val="Body Text Bold"/>
    <w:basedOn w:val="BodyText"/>
    <w:qFormat/>
    <w:rsid w:val="009217F7"/>
    <w:rPr>
      <w:b/>
    </w:rPr>
  </w:style>
  <w:style w:type="character" w:styleId="Hyperlink">
    <w:name w:val="Hyperlink"/>
    <w:basedOn w:val="DefaultParagraphFont"/>
    <w:uiPriority w:val="99"/>
    <w:unhideWhenUsed/>
    <w:rsid w:val="00771D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3422</Characters>
  <Application>Microsoft Office Word</Application>
  <DocSecurity>0</DocSecurity>
  <Lines>90</Lines>
  <Paragraphs>67</Paragraphs>
  <ScaleCrop>false</ScaleCrop>
  <Company>Author-it Software Corporation Ltd.</Company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FNSASICQ503 Provide advice in first home saver market linked accounts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2022-01-27T02:43:00Z</dcterms:created>
  <dcterms:modified xsi:type="dcterms:W3CDTF">2022-01-27T02:43:00Z</dcterms:modified>
</cp:coreProperties>
</file>