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43A" w:rsidP="00DE1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FNSASICO503 Provide Tier 1 general advice in general insurance</w:t>
      </w:r>
      <w:r>
        <w:fldChar w:fldCharType="end"/>
      </w:r>
    </w:p>
    <w:p w:rsidR="00DE143A" w:rsidP="00DE143A">
      <w:pPr>
        <w:pStyle w:val="Version"/>
        <w:sectPr w:rsidSect="00E30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054" w:rsidP="00E30054">
      <w:pPr>
        <w:pStyle w:val="SuperHeading"/>
      </w:pPr>
      <w:r w:rsidRPr="00E30054">
        <w:t>Assessment Requirements for FNSASICO503 Provide Tier 1 general advice in general insurance</w:t>
      </w:r>
    </w:p>
    <w:p w:rsidR="00000000" w:rsidRPr="00E30054" w:rsidP="00E30054">
      <w:pPr>
        <w:pStyle w:val="Heading1"/>
      </w:pPr>
      <w:bookmarkStart w:id="1" w:name="O_672113"/>
      <w:bookmarkEnd w:id="1"/>
      <w:r w:rsidRPr="00E300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54" w:rsidP="00E30054">
            <w:pPr>
              <w:pStyle w:val="BodyText"/>
            </w:pPr>
            <w:r w:rsidRPr="00E300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54">
            <w:pPr>
              <w:pStyle w:val="BodyText"/>
              <w:rPr>
                <w:lang w:val="en-NZ"/>
              </w:rPr>
            </w:pPr>
            <w:r w:rsidRPr="00E30054">
              <w:rPr>
                <w:rStyle w:val="SpecialBold"/>
              </w:rPr>
              <w:t>Comments</w:t>
            </w:r>
          </w:p>
        </w:tc>
      </w:tr>
      <w:tr w:rsidTr="00E30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54">
            <w:pPr>
              <w:pStyle w:val="BodyText"/>
              <w:rPr>
                <w:lang w:val="en-NZ"/>
              </w:rPr>
            </w:pPr>
            <w:r w:rsidRPr="00E300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54" w:rsidP="00E30054">
            <w:pPr>
              <w:pStyle w:val="BodyText"/>
            </w:pPr>
            <w:r w:rsidRPr="00E30054">
              <w:t>This version first released with FNS Financial Services Training Package Version 1.0.</w:t>
            </w:r>
          </w:p>
        </w:tc>
      </w:tr>
    </w:tbl>
    <w:p w:rsidR="00000000" w:rsidRPr="00E30054" w:rsidP="00E30054">
      <w:pPr>
        <w:pStyle w:val="BodyText"/>
      </w:pPr>
    </w:p>
    <w:p w:rsidR="00000000" w:rsidRPr="00E30054" w:rsidP="00E30054">
      <w:pPr>
        <w:pStyle w:val="AllowPageBreak"/>
      </w:pPr>
    </w:p>
    <w:p w:rsidR="00000000" w:rsidRPr="00E30054" w:rsidP="00E30054">
      <w:pPr>
        <w:pStyle w:val="Heading1"/>
      </w:pPr>
      <w:bookmarkStart w:id="2" w:name="O_672114"/>
      <w:bookmarkEnd w:id="2"/>
      <w:r w:rsidRPr="00E30054">
        <w:t>Performance Evidence</w:t>
      </w:r>
    </w:p>
    <w:p w:rsidR="00000000" w:rsidRPr="00E30054" w:rsidP="00DE143A">
      <w:pPr>
        <w:pStyle w:val="BodyText"/>
      </w:pPr>
      <w:r w:rsidRPr="00E30054">
        <w:t>Evidence of the ability to:</w:t>
      </w:r>
    </w:p>
    <w:p w:rsidR="00000000" w:rsidRPr="00E30054" w:rsidP="00E30054">
      <w:pPr>
        <w:pStyle w:val="ListBullet"/>
      </w:pPr>
      <w:r w:rsidRPr="00E30054">
        <w:t xml:space="preserve">respond to client enquiries and prepare general advice in general insurance </w:t>
      </w:r>
    </w:p>
    <w:p w:rsidR="00000000" w:rsidRPr="00E30054" w:rsidP="00E30054">
      <w:pPr>
        <w:pStyle w:val="ListBullet"/>
      </w:pPr>
      <w:r w:rsidRPr="00E30054">
        <w:t>provide accurate general insurance advice, complying with organisational procedures and industry regulations.</w:t>
      </w:r>
    </w:p>
    <w:p w:rsidR="00000000" w:rsidRPr="00E30054" w:rsidP="00E30054">
      <w:pPr>
        <w:pStyle w:val="BodyText"/>
      </w:pPr>
    </w:p>
    <w:p w:rsidR="00000000" w:rsidRPr="00E30054" w:rsidP="00DE143A">
      <w:pPr>
        <w:pStyle w:val="BodyText"/>
      </w:pPr>
      <w:r w:rsidRPr="00E30054">
        <w:t>Note: If a</w:t>
      </w:r>
      <w:r w:rsidRPr="00E30054">
        <w:t xml:space="preserve"> specific volume or frequency is not stated, then evidence must be provided at least once.</w:t>
      </w:r>
    </w:p>
    <w:p w:rsidR="00000000" w:rsidRPr="00E30054" w:rsidP="00E30054">
      <w:pPr>
        <w:pStyle w:val="Heading1"/>
      </w:pPr>
      <w:bookmarkStart w:id="3" w:name="O_672115"/>
      <w:bookmarkEnd w:id="3"/>
      <w:r w:rsidRPr="00E30054">
        <w:t>Knowledge Evidence</w:t>
      </w:r>
    </w:p>
    <w:p w:rsidR="00000000" w:rsidRPr="00E30054" w:rsidP="00DE143A">
      <w:pPr>
        <w:pStyle w:val="BodyText"/>
      </w:pPr>
      <w:r w:rsidRPr="00E30054">
        <w:t xml:space="preserve">To complete the unit requirements safely and effectively, </w:t>
      </w:r>
      <w:r w:rsidRPr="00E30054">
        <w:t>the individual must satisfy generic, core and specialist knowledge requirements relevant to the products and activities in which advice is given.</w:t>
      </w:r>
    </w:p>
    <w:p w:rsidR="00000000" w:rsidRPr="00E30054" w:rsidP="00DE143A">
      <w:pPr>
        <w:pStyle w:val="Heading3"/>
      </w:pPr>
      <w:r w:rsidRPr="00E30054">
        <w:rPr>
          <w:rStyle w:val="SpecialBold"/>
        </w:rPr>
        <w:t xml:space="preserve">Generic knowledge </w:t>
      </w:r>
    </w:p>
    <w:p w:rsidR="00000000" w:rsidRPr="00E30054" w:rsidP="00E30054">
      <w:pPr>
        <w:pStyle w:val="ListBullet"/>
      </w:pPr>
      <w:r w:rsidRPr="00E30054">
        <w:t>analyse and provide an overview of the economic environment including:</w:t>
      </w:r>
    </w:p>
    <w:p w:rsidR="00000000" w:rsidRPr="00E30054" w:rsidP="00E30054">
      <w:pPr>
        <w:pStyle w:val="ListBullet2"/>
      </w:pPr>
      <w:r w:rsidRPr="00E30054">
        <w:t>characteristics a</w:t>
      </w:r>
      <w:r w:rsidRPr="00E30054">
        <w:t>nd impact of economic and business cycles</w:t>
      </w:r>
    </w:p>
    <w:p w:rsidR="00000000" w:rsidRPr="00E30054" w:rsidP="00E30054">
      <w:pPr>
        <w:pStyle w:val="ListBullet2"/>
      </w:pPr>
      <w:r w:rsidRPr="00E30054">
        <w:t>interest rates and exchange rates</w:t>
      </w:r>
    </w:p>
    <w:p w:rsidR="00000000" w:rsidRPr="00E30054" w:rsidP="00E30054">
      <w:pPr>
        <w:pStyle w:val="ListBullet2"/>
      </w:pPr>
      <w:r w:rsidRPr="00E30054">
        <w:t>inflation</w:t>
      </w:r>
    </w:p>
    <w:p w:rsidR="00000000" w:rsidRPr="00E30054" w:rsidP="00E30054">
      <w:pPr>
        <w:pStyle w:val="ListBullet2"/>
      </w:pPr>
      <w:r w:rsidRPr="00E30054">
        <w:t>government monetary and fiscal policy</w:t>
      </w:r>
    </w:p>
    <w:p w:rsidR="00000000" w:rsidRPr="00E30054" w:rsidP="00E30054">
      <w:pPr>
        <w:pStyle w:val="ListBullet"/>
      </w:pPr>
      <w:r w:rsidRPr="00E30054">
        <w:t>analyse and provide a detailed explanation of the operation of financial markets including:</w:t>
      </w:r>
    </w:p>
    <w:p w:rsidR="00000000" w:rsidRPr="00E30054" w:rsidP="00E30054">
      <w:pPr>
        <w:pStyle w:val="ListBullet2"/>
      </w:pPr>
      <w:r w:rsidRPr="00E30054">
        <w:t>roles played by intermediaries and iss</w:t>
      </w:r>
      <w:r w:rsidRPr="00E30054">
        <w:t>uers</w:t>
      </w:r>
    </w:p>
    <w:p w:rsidR="00000000" w:rsidRPr="00E30054" w:rsidP="00E30054">
      <w:pPr>
        <w:pStyle w:val="ListBullet2"/>
      </w:pPr>
      <w:r w:rsidRPr="00E30054">
        <w:t>structure and interrelationships within the financial markets</w:t>
      </w:r>
    </w:p>
    <w:p w:rsidR="00000000" w:rsidRPr="00E30054" w:rsidP="00E30054">
      <w:pPr>
        <w:pStyle w:val="ListBullet2"/>
      </w:pPr>
      <w:r w:rsidRPr="00E30054">
        <w:t xml:space="preserve">interrelationship between industry sectors </w:t>
      </w:r>
    </w:p>
    <w:p w:rsidR="00000000" w:rsidRPr="00E30054" w:rsidP="00E30054">
      <w:pPr>
        <w:pStyle w:val="ListBullet"/>
      </w:pPr>
      <w:r w:rsidRPr="00E30054">
        <w:t>outline financial products including:</w:t>
      </w:r>
    </w:p>
    <w:p w:rsidR="00000000" w:rsidRPr="00E30054" w:rsidP="00E30054">
      <w:pPr>
        <w:pStyle w:val="ListBullet2"/>
      </w:pPr>
      <w:r w:rsidRPr="00E30054">
        <w:t>concept of a financial product – general definition, and specific inclusions and exclusions</w:t>
      </w:r>
    </w:p>
    <w:p w:rsidR="00000000" w:rsidRPr="00E30054" w:rsidP="00E30054">
      <w:pPr>
        <w:pStyle w:val="ListBullet2"/>
      </w:pPr>
      <w:r w:rsidRPr="00E30054">
        <w:t>types of financial investment products</w:t>
      </w:r>
    </w:p>
    <w:p w:rsidR="00000000" w:rsidRPr="00E30054" w:rsidP="00E30054">
      <w:pPr>
        <w:pStyle w:val="ListBullet2"/>
      </w:pPr>
      <w:r w:rsidRPr="00E30054">
        <w:t>types of financial risk products.</w:t>
      </w:r>
    </w:p>
    <w:p w:rsidR="00000000" w:rsidRPr="00E30054" w:rsidP="00E30054">
      <w:pPr>
        <w:pStyle w:val="BodyText"/>
      </w:pPr>
    </w:p>
    <w:p w:rsidR="00000000" w:rsidRPr="00E30054" w:rsidP="00DE143A">
      <w:pPr>
        <w:pStyle w:val="Heading3"/>
      </w:pPr>
      <w:r w:rsidRPr="00E30054">
        <w:rPr>
          <w:rStyle w:val="SpecialBold"/>
        </w:rPr>
        <w:t>Core insurance knowledge</w:t>
      </w:r>
    </w:p>
    <w:p w:rsidR="00000000" w:rsidRPr="00E30054" w:rsidP="00E30054">
      <w:pPr>
        <w:pStyle w:val="ListBullet"/>
      </w:pPr>
      <w:r w:rsidRPr="00E30054">
        <w:t>explain the operation of insurance markets including:</w:t>
      </w:r>
    </w:p>
    <w:p w:rsidR="00000000" w:rsidRPr="00E30054" w:rsidP="00E30054">
      <w:pPr>
        <w:pStyle w:val="ListBullet2"/>
      </w:pPr>
      <w:r w:rsidRPr="00E30054">
        <w:t xml:space="preserve">definition of insurance product </w:t>
      </w:r>
    </w:p>
    <w:p w:rsidR="00000000" w:rsidRPr="00E30054" w:rsidP="00E30054">
      <w:pPr>
        <w:pStyle w:val="ListBullet2"/>
      </w:pPr>
      <w:r w:rsidRPr="00E30054">
        <w:t xml:space="preserve">characteristics and participants of the Australian insurance market </w:t>
      </w:r>
    </w:p>
    <w:p w:rsidR="00000000" w:rsidRPr="00E30054" w:rsidP="00E30054">
      <w:pPr>
        <w:pStyle w:val="ListBullet2"/>
      </w:pPr>
      <w:r w:rsidRPr="00E30054">
        <w:t xml:space="preserve">roles played by intermediaries </w:t>
      </w:r>
    </w:p>
    <w:p w:rsidR="00000000" w:rsidRPr="00E30054" w:rsidP="00E30054">
      <w:pPr>
        <w:pStyle w:val="ListBullet"/>
      </w:pPr>
      <w:r w:rsidRPr="00E30054">
        <w:t>types of insurance products including risk insurance products, investment life insurance products and general insurance products</w:t>
      </w:r>
    </w:p>
    <w:p w:rsidR="00000000" w:rsidRPr="00E30054" w:rsidP="00E30054">
      <w:pPr>
        <w:pStyle w:val="ListBullet"/>
      </w:pPr>
      <w:r w:rsidRPr="00E30054">
        <w:t>explain the following aspects of insurance products:</w:t>
      </w:r>
    </w:p>
    <w:p w:rsidR="00000000" w:rsidRPr="00E30054" w:rsidP="00E30054">
      <w:pPr>
        <w:pStyle w:val="ListBullet2"/>
      </w:pPr>
      <w:r w:rsidRPr="00E30054">
        <w:t>conditions, exclusions and levels of co</w:t>
      </w:r>
      <w:r w:rsidRPr="00E30054">
        <w:t>verage of risk transfer products</w:t>
      </w:r>
    </w:p>
    <w:p w:rsidR="00000000" w:rsidRPr="00E30054" w:rsidP="00E30054">
      <w:pPr>
        <w:pStyle w:val="ListBullet2"/>
      </w:pPr>
      <w:r w:rsidRPr="00E30054">
        <w:t xml:space="preserve">pricing </w:t>
      </w:r>
    </w:p>
    <w:p w:rsidR="00000000" w:rsidRPr="00E30054" w:rsidP="00E30054">
      <w:pPr>
        <w:pStyle w:val="ListBullet"/>
      </w:pPr>
      <w:r w:rsidRPr="00E30054">
        <w:t xml:space="preserve">explain taxation issues in relation to general insurance products and markets </w:t>
      </w:r>
    </w:p>
    <w:p w:rsidR="00000000" w:rsidRPr="00E30054" w:rsidP="00E30054">
      <w:pPr>
        <w:pStyle w:val="ListBullet"/>
      </w:pPr>
      <w:r w:rsidRPr="00E30054">
        <w:t>describe advisory functions including:</w:t>
      </w:r>
    </w:p>
    <w:p w:rsidR="00000000" w:rsidRPr="00E30054" w:rsidP="00E30054">
      <w:pPr>
        <w:pStyle w:val="ListBullet2"/>
      </w:pPr>
      <w:r w:rsidRPr="00E30054">
        <w:t>role of insurance adviser, broker or agent</w:t>
      </w:r>
    </w:p>
    <w:p w:rsidR="00000000" w:rsidRPr="00E30054" w:rsidP="00E30054">
      <w:pPr>
        <w:pStyle w:val="ListBullet2"/>
      </w:pPr>
      <w:r w:rsidRPr="00E30054">
        <w:t>participants in the insurance advisory services market</w:t>
      </w:r>
    </w:p>
    <w:p w:rsidR="00000000" w:rsidRPr="00E30054" w:rsidP="00E30054">
      <w:pPr>
        <w:pStyle w:val="ListBullet2"/>
      </w:pPr>
      <w:r w:rsidRPr="00E30054">
        <w:t>range of services provided</w:t>
      </w:r>
    </w:p>
    <w:p w:rsidR="00000000" w:rsidRPr="00E30054" w:rsidP="00E30054">
      <w:pPr>
        <w:pStyle w:val="ListBullet2"/>
      </w:pPr>
      <w:r w:rsidRPr="00E30054">
        <w:t>profile and financial information of the client</w:t>
      </w:r>
    </w:p>
    <w:p w:rsidR="00000000" w:rsidRPr="00E30054" w:rsidP="00E30054">
      <w:pPr>
        <w:pStyle w:val="ListBullet2"/>
      </w:pPr>
      <w:r w:rsidRPr="00E30054">
        <w:t>appropriateness of a risk assessment</w:t>
      </w:r>
    </w:p>
    <w:p w:rsidR="00000000" w:rsidRPr="00E30054" w:rsidP="00E30054">
      <w:pPr>
        <w:pStyle w:val="ListBullet"/>
      </w:pPr>
      <w:r w:rsidRPr="00E30054">
        <w:t>discuss the legal environment including disclosure and compliance covering:</w:t>
      </w:r>
    </w:p>
    <w:p w:rsidR="00000000" w:rsidRPr="00E30054" w:rsidP="00E30054">
      <w:pPr>
        <w:pStyle w:val="ListBullet2"/>
      </w:pPr>
      <w:r w:rsidRPr="00E30054">
        <w:t>the role of</w:t>
      </w:r>
      <w:r w:rsidRPr="00E30054">
        <w:t xml:space="preserve"> the representative or adviser</w:t>
      </w:r>
    </w:p>
    <w:p w:rsidR="00000000" w:rsidRPr="00E30054" w:rsidP="00E30054">
      <w:pPr>
        <w:pStyle w:val="ListBullet2"/>
      </w:pPr>
      <w:r w:rsidRPr="00E30054">
        <w:t xml:space="preserve">relevant legal principles relating to the Corporations Act, Australian Securities and Investments Commission (ASIC) Act, Insurance Contracts Act, Life Insurance Act, Privacy Amendment (Private Sector) Act, Financial Services </w:t>
      </w:r>
      <w:r w:rsidRPr="00E30054">
        <w:t>Reform Act (FSRA) and Competition and Consumer Act</w:t>
      </w:r>
    </w:p>
    <w:p w:rsidR="00000000" w:rsidRPr="00E30054" w:rsidP="00E30054">
      <w:pPr>
        <w:pStyle w:val="ListBullet2"/>
      </w:pPr>
      <w:r w:rsidRPr="00E30054">
        <w:t>relationship between ethics and regulatory requirements including good faith, faith, utmost good faith, full disclosure of remuneration and fees, and any other conflicts of interest which may influence the</w:t>
      </w:r>
      <w:r w:rsidRPr="00E30054">
        <w:t xml:space="preserve"> adviser</w:t>
      </w:r>
      <w:r>
        <w:t>’</w:t>
      </w:r>
      <w:r w:rsidRPr="00E30054">
        <w:t>s recommendation</w:t>
      </w:r>
    </w:p>
    <w:p w:rsidR="00000000" w:rsidRPr="00E30054" w:rsidP="00E30054">
      <w:pPr>
        <w:pStyle w:val="ListBullet2"/>
      </w:pPr>
      <w:r w:rsidRPr="00E30054">
        <w:t xml:space="preserve">relevant industry standards and codes of conduct </w:t>
      </w:r>
    </w:p>
    <w:p w:rsidR="00000000" w:rsidRPr="00E30054" w:rsidP="00E30054">
      <w:pPr>
        <w:pStyle w:val="ListBullet2"/>
      </w:pPr>
      <w:r w:rsidRPr="00E30054">
        <w:t xml:space="preserve">regulators’ guidelines including ASIC Regulatory Guide (RG)146 requirements </w:t>
      </w:r>
    </w:p>
    <w:p w:rsidR="00000000" w:rsidRPr="00E30054" w:rsidP="00E30054">
      <w:pPr>
        <w:pStyle w:val="ListBullet2"/>
      </w:pPr>
      <w:r w:rsidRPr="00E30054">
        <w:t>complaints resolution procedures (external and internal).</w:t>
      </w:r>
    </w:p>
    <w:p w:rsidR="00000000" w:rsidRPr="00E30054" w:rsidP="00E30054">
      <w:pPr>
        <w:pStyle w:val="BodyText"/>
      </w:pPr>
    </w:p>
    <w:p w:rsidR="00000000" w:rsidRPr="00E30054" w:rsidP="00DE143A">
      <w:pPr>
        <w:pStyle w:val="Heading3"/>
      </w:pPr>
      <w:r w:rsidRPr="00E30054">
        <w:rPr>
          <w:rStyle w:val="SpecialBold"/>
        </w:rPr>
        <w:t xml:space="preserve">Specialist knowledge </w:t>
      </w:r>
    </w:p>
    <w:p w:rsidR="00000000" w:rsidRPr="00E30054" w:rsidP="00E30054">
      <w:pPr>
        <w:pStyle w:val="ListBullet"/>
      </w:pPr>
      <w:r w:rsidRPr="00E30054">
        <w:t>provide a summary of general insurance matters including:</w:t>
      </w:r>
    </w:p>
    <w:p w:rsidR="00000000" w:rsidRPr="00E30054" w:rsidP="00E30054">
      <w:pPr>
        <w:pStyle w:val="ListBullet2"/>
      </w:pPr>
      <w:r w:rsidRPr="00E30054">
        <w:t>types of general insurance products and policies</w:t>
      </w:r>
    </w:p>
    <w:p w:rsidR="00000000" w:rsidRPr="00E30054" w:rsidP="00E30054">
      <w:pPr>
        <w:pStyle w:val="ListBullet2"/>
      </w:pPr>
      <w:r w:rsidRPr="00E30054">
        <w:t>standard cover and deviations</w:t>
      </w:r>
    </w:p>
    <w:p w:rsidR="00000000" w:rsidRPr="00E30054" w:rsidP="00E30054">
      <w:pPr>
        <w:pStyle w:val="ListBullet2"/>
      </w:pPr>
      <w:r w:rsidRPr="00E30054">
        <w:t>policy wordings</w:t>
      </w:r>
    </w:p>
    <w:p w:rsidR="00000000" w:rsidRPr="00E30054" w:rsidP="00E30054">
      <w:pPr>
        <w:pStyle w:val="ListBullet2"/>
      </w:pPr>
      <w:r w:rsidRPr="00E30054">
        <w:t>taxes and charges</w:t>
      </w:r>
    </w:p>
    <w:p w:rsidR="00000000" w:rsidRPr="00E30054" w:rsidP="00E30054">
      <w:pPr>
        <w:pStyle w:val="ListBullet2"/>
      </w:pPr>
      <w:r w:rsidRPr="00E30054">
        <w:t>insurance claims</w:t>
      </w:r>
    </w:p>
    <w:p w:rsidR="00000000" w:rsidRPr="00E30054" w:rsidP="00E30054">
      <w:pPr>
        <w:pStyle w:val="ListBullet2"/>
      </w:pPr>
      <w:r w:rsidRPr="00E30054">
        <w:t>premium rating and risk selection</w:t>
      </w:r>
    </w:p>
    <w:p w:rsidR="00000000" w:rsidRPr="00E30054" w:rsidP="00E30054">
      <w:pPr>
        <w:pStyle w:val="ListBullet2"/>
      </w:pPr>
      <w:r w:rsidRPr="00E30054">
        <w:t>reporting</w:t>
      </w:r>
    </w:p>
    <w:p w:rsidR="00000000" w:rsidRPr="00E30054" w:rsidP="00E30054">
      <w:pPr>
        <w:pStyle w:val="ListBullet2"/>
      </w:pPr>
      <w:r w:rsidRPr="00E30054">
        <w:t>product development</w:t>
      </w:r>
    </w:p>
    <w:p w:rsidR="00000000" w:rsidRPr="00E30054" w:rsidP="00E30054">
      <w:pPr>
        <w:pStyle w:val="ListBullet2"/>
      </w:pPr>
      <w:r w:rsidRPr="00E30054">
        <w:t>und</w:t>
      </w:r>
      <w:r w:rsidRPr="00E30054">
        <w:t>erwriting</w:t>
      </w:r>
    </w:p>
    <w:p w:rsidR="00000000" w:rsidRPr="00E30054" w:rsidP="00E30054">
      <w:pPr>
        <w:pStyle w:val="ListBullet2"/>
      </w:pPr>
      <w:r w:rsidRPr="00E30054">
        <w:t>terms and conditions of retail general insurance products used by the adviser</w:t>
      </w:r>
    </w:p>
    <w:p w:rsidR="00000000" w:rsidRPr="00E30054" w:rsidP="00E30054">
      <w:pPr>
        <w:pStyle w:val="ListBullet"/>
      </w:pPr>
      <w:r w:rsidRPr="00E30054">
        <w:t>discuss relevant legislative and organisational compliance requirements including:</w:t>
      </w:r>
    </w:p>
    <w:p w:rsidR="00000000" w:rsidRPr="00E30054" w:rsidP="00E30054">
      <w:pPr>
        <w:pStyle w:val="ListBullet2"/>
      </w:pPr>
      <w:r w:rsidRPr="00E30054">
        <w:t>legislation affecting the provision of general and personal advice including ASIC R</w:t>
      </w:r>
      <w:r w:rsidRPr="00E30054">
        <w:t>egulatory Guide 175 on conduct and disclosure</w:t>
      </w:r>
    </w:p>
    <w:p w:rsidR="00000000" w:rsidRPr="00E30054" w:rsidP="00E30054">
      <w:pPr>
        <w:pStyle w:val="ListBullet2"/>
      </w:pPr>
      <w:r w:rsidRPr="00E30054">
        <w:t>role of different advisers within the organisation</w:t>
      </w:r>
    </w:p>
    <w:p w:rsidR="00000000" w:rsidRPr="00E30054" w:rsidP="00E30054">
      <w:pPr>
        <w:pStyle w:val="ListBullet2"/>
      </w:pPr>
      <w:r w:rsidRPr="00E30054">
        <w:t>organisational policy and guidelines related to the provision of general advice</w:t>
      </w:r>
    </w:p>
    <w:p w:rsidR="00000000" w:rsidRPr="00E30054" w:rsidP="00E30054">
      <w:pPr>
        <w:pStyle w:val="ListBullet2"/>
      </w:pPr>
      <w:r w:rsidRPr="00E30054">
        <w:t>details of relevant marketing and disclosure documents, including product disclosure statements and marketing brochures on the relevant products.</w:t>
      </w:r>
    </w:p>
    <w:p w:rsidR="00000000" w:rsidRPr="00E30054" w:rsidP="00E30054">
      <w:pPr>
        <w:pStyle w:val="AllowPageBreak"/>
      </w:pPr>
    </w:p>
    <w:p w:rsidR="00000000" w:rsidRPr="00E30054" w:rsidP="00E30054">
      <w:pPr>
        <w:pStyle w:val="Heading1"/>
      </w:pPr>
      <w:bookmarkStart w:id="4" w:name="O_672116"/>
      <w:bookmarkEnd w:id="4"/>
      <w:r w:rsidRPr="00E30054">
        <w:t>Assessment Conditions</w:t>
      </w:r>
    </w:p>
    <w:p w:rsidR="00000000" w:rsidRPr="00E30054" w:rsidP="00DE143A">
      <w:pPr>
        <w:pStyle w:val="BodyText"/>
      </w:pPr>
      <w:r w:rsidRPr="00E30054">
        <w:t>Assessment must be conducted in a safe environment where evidence gathe</w:t>
      </w:r>
      <w:r w:rsidRPr="00E30054">
        <w:t>red demonstrates consistent performance of typical activities experienced in the financial services and products advice field of work and include access to:</w:t>
      </w:r>
    </w:p>
    <w:p w:rsidR="00000000" w:rsidRPr="00E30054" w:rsidP="00E30054">
      <w:pPr>
        <w:pStyle w:val="ListBullet"/>
      </w:pPr>
      <w:r w:rsidRPr="00E30054">
        <w:t>office equipment, technology, software and consumables</w:t>
      </w:r>
    </w:p>
    <w:p w:rsidR="00000000" w:rsidRPr="00E30054" w:rsidP="00E30054">
      <w:pPr>
        <w:pStyle w:val="ListBullet"/>
      </w:pPr>
      <w:r w:rsidRPr="00E30054">
        <w:t>organisational records.</w:t>
      </w:r>
    </w:p>
    <w:p w:rsidR="00000000" w:rsidRPr="00E30054" w:rsidP="00E30054">
      <w:pPr>
        <w:pStyle w:val="BodyText"/>
      </w:pPr>
    </w:p>
    <w:p w:rsidR="00000000" w:rsidRPr="00E30054" w:rsidP="00DE143A">
      <w:pPr>
        <w:pStyle w:val="BodyText"/>
      </w:pPr>
      <w:r w:rsidRPr="00E30054">
        <w:t>Assessors must sat</w:t>
      </w:r>
      <w:r w:rsidRPr="00E30054">
        <w:t>isfy NVR/AQTF assessor requirements.</w:t>
      </w:r>
    </w:p>
    <w:p w:rsidR="00000000" w:rsidRPr="00E30054" w:rsidP="00E30054">
      <w:pPr>
        <w:pStyle w:val="Heading1"/>
      </w:pPr>
      <w:bookmarkStart w:id="5" w:name="O_672119"/>
      <w:bookmarkEnd w:id="5"/>
      <w:r w:rsidRPr="00E30054">
        <w:t>Links</w:t>
      </w:r>
    </w:p>
    <w:p w:rsidR="00000000" w:rsidRPr="00E30054" w:rsidP="00DE143A">
      <w:pPr>
        <w:pStyle w:val="BodyText"/>
      </w:pPr>
      <w:r w:rsidRPr="00E30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75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0054" w:rsidP="00E30054"/>
    <w:sectPr w:rsidSect="00E30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54" w:rsidRPr="00DE143A" w:rsidP="00DE1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3A" w:rsidP="00E30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43A" w:rsidP="00E30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143A" w:rsidP="00E30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054" w:rsidRPr="00DE143A" w:rsidP="00DE1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43A" w:rsidRPr="002D2AF8" w:rsidP="00E30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FNSASICO503 Provide Tier 1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E143A" w:rsidP="00E30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DCC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61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61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054"/>
  </w:style>
  <w:style w:type="character" w:customStyle="1" w:styleId="Heading1Char">
    <w:name w:val="Heading 1 Char"/>
    <w:basedOn w:val="DefaultParagraphFont"/>
    <w:link w:val="Heading1"/>
    <w:rsid w:val="00E30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0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054"/>
    <w:rPr>
      <w:b/>
      <w:spacing w:val="0"/>
    </w:rPr>
  </w:style>
  <w:style w:type="paragraph" w:styleId="ListBullet2">
    <w:name w:val="List Bullet 2"/>
    <w:basedOn w:val="List2"/>
    <w:rsid w:val="00E300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0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054"/>
    <w:rPr>
      <w:i/>
    </w:rPr>
  </w:style>
  <w:style w:type="paragraph" w:styleId="Caption">
    <w:name w:val="caption"/>
    <w:basedOn w:val="BodyText"/>
    <w:next w:val="Normal"/>
    <w:qFormat/>
    <w:rsid w:val="00E30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054"/>
  </w:style>
  <w:style w:type="paragraph" w:styleId="TableofFigures">
    <w:name w:val="table of figures"/>
    <w:basedOn w:val="Normal"/>
    <w:next w:val="Normal"/>
    <w:semiHidden/>
    <w:rsid w:val="00E30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0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054"/>
    <w:rPr>
      <w:rFonts w:ascii="Wingdings" w:hAnsi="Wingdings"/>
    </w:rPr>
  </w:style>
  <w:style w:type="paragraph" w:customStyle="1" w:styleId="TableHeading">
    <w:name w:val="Table Heading"/>
    <w:basedOn w:val="HeadingBase"/>
    <w:rsid w:val="00E30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054"/>
    <w:rPr>
      <w:color w:val="0033CC"/>
      <w:u w:val="none"/>
    </w:rPr>
  </w:style>
  <w:style w:type="paragraph" w:customStyle="1" w:styleId="BodyTextRight">
    <w:name w:val="Body Text Right"/>
    <w:basedOn w:val="BodyText"/>
    <w:rsid w:val="00E30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0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054"/>
    <w:rPr>
      <w:sz w:val="32"/>
    </w:rPr>
  </w:style>
  <w:style w:type="paragraph" w:customStyle="1" w:styleId="HeadingProcedure">
    <w:name w:val="Heading Procedure"/>
    <w:basedOn w:val="HeadingBase"/>
    <w:next w:val="Normal"/>
    <w:rsid w:val="00E30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054"/>
    <w:pPr>
      <w:spacing w:before="60" w:after="60"/>
    </w:pPr>
  </w:style>
  <w:style w:type="paragraph" w:styleId="ListContinue">
    <w:name w:val="List Continue"/>
    <w:basedOn w:val="List"/>
    <w:rsid w:val="00E30054"/>
    <w:pPr>
      <w:ind w:firstLine="0"/>
    </w:pPr>
  </w:style>
  <w:style w:type="paragraph" w:customStyle="1" w:styleId="ListNote">
    <w:name w:val="List Note"/>
    <w:basedOn w:val="List"/>
    <w:rsid w:val="00E30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054"/>
    <w:rPr>
      <w:rFonts w:ascii="Courier New" w:hAnsi="Courier New"/>
    </w:rPr>
  </w:style>
  <w:style w:type="paragraph" w:customStyle="1" w:styleId="NoteBullet">
    <w:name w:val="Note Bullet"/>
    <w:basedOn w:val="Note"/>
    <w:rsid w:val="00E30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0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054"/>
    <w:rPr>
      <w:b/>
      <w:smallCaps/>
    </w:rPr>
  </w:style>
  <w:style w:type="paragraph" w:customStyle="1" w:styleId="TableListNumber">
    <w:name w:val="Table List Number"/>
    <w:basedOn w:val="ListNumber"/>
    <w:rsid w:val="00E30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054"/>
    <w:pPr>
      <w:numPr>
        <w:numId w:val="9"/>
      </w:numPr>
    </w:pPr>
  </w:style>
  <w:style w:type="paragraph" w:customStyle="1" w:styleId="ListAlpha2">
    <w:name w:val="List Alpha 2"/>
    <w:basedOn w:val="List2"/>
    <w:rsid w:val="00E30054"/>
    <w:pPr>
      <w:numPr>
        <w:numId w:val="8"/>
      </w:numPr>
    </w:pPr>
  </w:style>
  <w:style w:type="paragraph" w:styleId="List2">
    <w:name w:val="List 2"/>
    <w:basedOn w:val="BodyText"/>
    <w:rsid w:val="00E30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0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0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054"/>
    <w:pPr>
      <w:numPr>
        <w:numId w:val="4"/>
      </w:numPr>
    </w:pPr>
  </w:style>
  <w:style w:type="paragraph" w:styleId="ListContinue2">
    <w:name w:val="List Continue 2"/>
    <w:basedOn w:val="List2"/>
    <w:rsid w:val="00E30054"/>
    <w:pPr>
      <w:ind w:firstLine="0"/>
    </w:pPr>
  </w:style>
  <w:style w:type="paragraph" w:styleId="ListContinue3">
    <w:name w:val="List Continue 3"/>
    <w:basedOn w:val="List3"/>
    <w:rsid w:val="00E30054"/>
    <w:pPr>
      <w:ind w:left="1021" w:firstLine="0"/>
    </w:pPr>
  </w:style>
  <w:style w:type="paragraph" w:styleId="ListContinue4">
    <w:name w:val="List Continue 4"/>
    <w:basedOn w:val="List4"/>
    <w:rsid w:val="00E30054"/>
    <w:pPr>
      <w:ind w:firstLine="0"/>
    </w:pPr>
  </w:style>
  <w:style w:type="paragraph" w:styleId="ListContinue5">
    <w:name w:val="List Continue 5"/>
    <w:basedOn w:val="List5"/>
    <w:rsid w:val="00E30054"/>
    <w:pPr>
      <w:ind w:firstLine="0"/>
    </w:pPr>
  </w:style>
  <w:style w:type="paragraph" w:styleId="ListNumber3">
    <w:name w:val="List Number 3"/>
    <w:basedOn w:val="List3"/>
    <w:rsid w:val="00E30054"/>
    <w:pPr>
      <w:numPr>
        <w:numId w:val="5"/>
      </w:numPr>
    </w:pPr>
  </w:style>
  <w:style w:type="paragraph" w:styleId="ListNumber4">
    <w:name w:val="List Number 4"/>
    <w:basedOn w:val="List4"/>
    <w:rsid w:val="00E30054"/>
    <w:pPr>
      <w:numPr>
        <w:numId w:val="6"/>
      </w:numPr>
    </w:pPr>
  </w:style>
  <w:style w:type="paragraph" w:styleId="ListNumber5">
    <w:name w:val="List Number 5"/>
    <w:basedOn w:val="List5"/>
    <w:rsid w:val="00E30054"/>
    <w:pPr>
      <w:numPr>
        <w:numId w:val="7"/>
      </w:numPr>
    </w:pPr>
  </w:style>
  <w:style w:type="paragraph" w:styleId="BlockText">
    <w:name w:val="Block Text"/>
    <w:basedOn w:val="Normal"/>
    <w:rsid w:val="00E30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054"/>
    <w:rPr>
      <w:sz w:val="16"/>
      <w:vertAlign w:val="superscript"/>
    </w:rPr>
  </w:style>
  <w:style w:type="character" w:customStyle="1" w:styleId="Symbols">
    <w:name w:val="Symbols"/>
    <w:basedOn w:val="DefaultParagraphFont"/>
    <w:rsid w:val="00E30054"/>
    <w:rPr>
      <w:rFonts w:ascii="Symbol" w:hAnsi="Symbol"/>
    </w:rPr>
  </w:style>
  <w:style w:type="character" w:customStyle="1" w:styleId="MenuOptions">
    <w:name w:val="Menu Options"/>
    <w:basedOn w:val="DefaultParagraphFont"/>
    <w:rsid w:val="00E30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054"/>
    <w:rPr>
      <w:b/>
    </w:rPr>
  </w:style>
  <w:style w:type="character" w:customStyle="1" w:styleId="Underlined">
    <w:name w:val="Underlined"/>
    <w:basedOn w:val="DefaultParagraphFont"/>
    <w:rsid w:val="00E30054"/>
    <w:rPr>
      <w:u w:val="single"/>
    </w:rPr>
  </w:style>
  <w:style w:type="paragraph" w:customStyle="1" w:styleId="TableBodyTextRight">
    <w:name w:val="Table Body Text Right"/>
    <w:basedOn w:val="TableBodyText"/>
    <w:rsid w:val="00E30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054"/>
    <w:rPr>
      <w:sz w:val="18"/>
    </w:rPr>
  </w:style>
  <w:style w:type="paragraph" w:customStyle="1" w:styleId="BodySmallRight">
    <w:name w:val="Body Small Right"/>
    <w:basedOn w:val="BodyTextRight"/>
    <w:rsid w:val="00E30054"/>
    <w:rPr>
      <w:sz w:val="18"/>
      <w:szCs w:val="18"/>
    </w:rPr>
  </w:style>
  <w:style w:type="paragraph" w:customStyle="1" w:styleId="MarginEdition">
    <w:name w:val="Margin Edition"/>
    <w:basedOn w:val="MarginNote"/>
    <w:rsid w:val="00E30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054"/>
    <w:rPr>
      <w:sz w:val="2"/>
      <w:szCs w:val="2"/>
    </w:rPr>
  </w:style>
  <w:style w:type="character" w:customStyle="1" w:styleId="Small">
    <w:name w:val="Small"/>
    <w:basedOn w:val="DefaultParagraphFont"/>
    <w:rsid w:val="00E30054"/>
    <w:rPr>
      <w:sz w:val="16"/>
    </w:rPr>
  </w:style>
  <w:style w:type="paragraph" w:customStyle="1" w:styleId="WideTable">
    <w:name w:val="Wide Table"/>
    <w:basedOn w:val="Normal"/>
    <w:rsid w:val="00E30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054"/>
  </w:style>
  <w:style w:type="paragraph" w:styleId="Quote">
    <w:name w:val="Quote"/>
    <w:basedOn w:val="Heading1"/>
    <w:link w:val="QuoteChar"/>
    <w:qFormat/>
    <w:rsid w:val="00E30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054"/>
    <w:pPr>
      <w:pageBreakBefore/>
    </w:pPr>
  </w:style>
  <w:style w:type="paragraph" w:customStyle="1" w:styleId="Border">
    <w:name w:val="Border"/>
    <w:basedOn w:val="Normal"/>
    <w:qFormat/>
    <w:rsid w:val="00E30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054"/>
    <w:rPr>
      <w:u w:val="single"/>
    </w:rPr>
  </w:style>
  <w:style w:type="character" w:customStyle="1" w:styleId="BoldandItalics">
    <w:name w:val="Bold and Italics"/>
    <w:qFormat/>
    <w:rsid w:val="00E30054"/>
    <w:rPr>
      <w:b/>
      <w:i/>
      <w:u w:val="none"/>
    </w:rPr>
  </w:style>
  <w:style w:type="paragraph" w:styleId="BalloonText">
    <w:name w:val="Balloon Text"/>
    <w:basedOn w:val="Normal"/>
    <w:link w:val="BalloonTextChar"/>
    <w:rsid w:val="00E30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054"/>
    <w:pPr>
      <w:spacing w:before="0" w:after="0"/>
    </w:pPr>
  </w:style>
  <w:style w:type="paragraph" w:customStyle="1" w:styleId="BodyTextBold">
    <w:name w:val="Body Text Bold"/>
    <w:basedOn w:val="BodyText"/>
    <w:qFormat/>
    <w:rsid w:val="00E30054"/>
    <w:rPr>
      <w:b/>
    </w:rPr>
  </w:style>
  <w:style w:type="character" w:styleId="Hyperlink">
    <w:name w:val="Hyperlink"/>
    <w:basedOn w:val="DefaultParagraphFont"/>
    <w:uiPriority w:val="99"/>
    <w:unhideWhenUsed/>
    <w:rsid w:val="00DE1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4140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FNSASICO503 Provide Tier 1 general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