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C7B" w:rsidP="00695C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FNSASICM513 Provide general advice in life insurance</w:t>
      </w:r>
      <w:r>
        <w:fldChar w:fldCharType="end"/>
      </w:r>
    </w:p>
    <w:p w:rsidR="00695C7B" w:rsidP="00695C7B">
      <w:pPr>
        <w:pStyle w:val="Version"/>
        <w:sectPr w:rsidSect="00C605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056D" w:rsidP="00C6056D">
      <w:pPr>
        <w:pStyle w:val="SuperHeading"/>
      </w:pPr>
      <w:r w:rsidRPr="00C6056D">
        <w:t>Assessment Requirements for FNSASICM513 Provide general advice in life insurance</w:t>
      </w:r>
    </w:p>
    <w:p w:rsidR="00000000" w:rsidRPr="00C6056D" w:rsidP="00C6056D">
      <w:pPr>
        <w:pStyle w:val="Heading1"/>
      </w:pPr>
      <w:bookmarkStart w:id="1" w:name="O_1235307"/>
      <w:bookmarkEnd w:id="1"/>
      <w:r w:rsidRPr="00C605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6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56D" w:rsidP="00C6056D">
            <w:pPr>
              <w:pStyle w:val="BodyText"/>
            </w:pPr>
            <w:r w:rsidRPr="00C6056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56D">
            <w:pPr>
              <w:pStyle w:val="BodyText"/>
              <w:rPr>
                <w:lang w:val="en-NZ"/>
              </w:rPr>
            </w:pPr>
            <w:r w:rsidRPr="00C6056D">
              <w:rPr>
                <w:rStyle w:val="SpecialBold"/>
              </w:rPr>
              <w:t>Comments</w:t>
            </w:r>
          </w:p>
        </w:tc>
      </w:tr>
      <w:tr w:rsidTr="00C6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56D">
            <w:pPr>
              <w:pStyle w:val="BodyText"/>
              <w:rPr>
                <w:lang w:val="en-NZ"/>
              </w:rPr>
            </w:pPr>
            <w:r w:rsidRPr="00C6056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56D" w:rsidP="00C6056D">
            <w:pPr>
              <w:pStyle w:val="BodyText"/>
            </w:pPr>
            <w:r w:rsidRPr="00C6056D">
              <w:t>This version first released with the FNS Financial Services Training Package Version 8.0.</w:t>
            </w:r>
          </w:p>
          <w:p w:rsidR="00000000" w:rsidRPr="00C6056D" w:rsidP="00C6056D">
            <w:pPr>
              <w:pStyle w:val="BodyText"/>
            </w:pPr>
            <w:r w:rsidRPr="00C6056D">
              <w:t>Supersedes and is not equivalent to FNSASICM503 Provide Tier 1 personal advice in life insurance.</w:t>
            </w:r>
          </w:p>
        </w:tc>
      </w:tr>
    </w:tbl>
    <w:p w:rsidR="00000000" w:rsidRPr="00C6056D" w:rsidP="00C6056D">
      <w:pPr>
        <w:pStyle w:val="BodyText"/>
      </w:pPr>
    </w:p>
    <w:p w:rsidR="00000000" w:rsidRPr="00C6056D" w:rsidP="00C6056D">
      <w:pPr>
        <w:pStyle w:val="AllowPageBreak"/>
      </w:pPr>
    </w:p>
    <w:p w:rsidR="00000000" w:rsidRPr="00C6056D" w:rsidP="00C6056D">
      <w:pPr>
        <w:pStyle w:val="Heading1"/>
      </w:pPr>
      <w:bookmarkStart w:id="2" w:name="O_1235308"/>
      <w:bookmarkEnd w:id="2"/>
      <w:r w:rsidRPr="00C6056D">
        <w:t>Performance Evidence</w:t>
      </w:r>
    </w:p>
    <w:p w:rsidR="00000000" w:rsidRPr="00C6056D" w:rsidP="00695C7B">
      <w:pPr>
        <w:pStyle w:val="BodyText"/>
      </w:pPr>
      <w:r w:rsidRPr="00C6056D">
        <w:t xml:space="preserve">The candidate must demonstrate the ability to complete the tasks outlined in the elements, performance criteria and </w:t>
      </w:r>
      <w:r w:rsidRPr="00C6056D">
        <w:t>foundation skills of this unit, including evidence of the ability to:</w:t>
      </w:r>
    </w:p>
    <w:p w:rsidR="00000000" w:rsidRPr="00C6056D" w:rsidP="00C6056D">
      <w:pPr>
        <w:pStyle w:val="ListBullet"/>
      </w:pPr>
      <w:r w:rsidRPr="00C6056D">
        <w:t>provide general advice in life insurance to at least two different clients.</w:t>
      </w:r>
    </w:p>
    <w:p w:rsidR="00000000" w:rsidRPr="00C6056D" w:rsidP="00C6056D">
      <w:pPr>
        <w:pStyle w:val="BodyText"/>
      </w:pPr>
    </w:p>
    <w:p w:rsidR="00000000" w:rsidRPr="00C6056D" w:rsidP="00695C7B">
      <w:pPr>
        <w:pStyle w:val="BodyText"/>
      </w:pPr>
      <w:r w:rsidRPr="00C6056D">
        <w:t>In the course of the above, the candidate must:</w:t>
      </w:r>
    </w:p>
    <w:p w:rsidR="00000000" w:rsidRPr="00C6056D" w:rsidP="00C6056D">
      <w:pPr>
        <w:pStyle w:val="ListBullet"/>
      </w:pPr>
      <w:r w:rsidRPr="00C6056D">
        <w:t>identify and analyse each client’</w:t>
      </w:r>
      <w:r w:rsidRPr="00C6056D">
        <w:t>s objectives, needs and financial details</w:t>
      </w:r>
    </w:p>
    <w:p w:rsidR="00000000" w:rsidRPr="00C6056D" w:rsidP="00C6056D">
      <w:pPr>
        <w:pStyle w:val="ListBullet"/>
      </w:pPr>
      <w:r w:rsidRPr="00C6056D">
        <w:t>comply with industry-specific legislative and regulatory requirements for life insurance</w:t>
      </w:r>
    </w:p>
    <w:p w:rsidR="00000000" w:rsidRPr="00C6056D" w:rsidP="00C6056D">
      <w:pPr>
        <w:pStyle w:val="ListBullet"/>
      </w:pPr>
      <w:r w:rsidRPr="00C6056D">
        <w:t>advise clients accurately and ethically about specific life insurance products and services, and relevant tax implications</w:t>
      </w:r>
    </w:p>
    <w:p w:rsidR="00000000" w:rsidRPr="00C6056D" w:rsidP="00C6056D">
      <w:pPr>
        <w:pStyle w:val="ListBullet"/>
      </w:pPr>
      <w:r w:rsidRPr="00C6056D">
        <w:t>de</w:t>
      </w:r>
      <w:r w:rsidRPr="00C6056D">
        <w:t>monstrate knowledge of product or service offered</w:t>
      </w:r>
    </w:p>
    <w:p w:rsidR="00000000" w:rsidRPr="00C6056D" w:rsidP="00C6056D">
      <w:pPr>
        <w:pStyle w:val="ListBullet"/>
      </w:pPr>
      <w:r w:rsidRPr="00C6056D">
        <w:t>match product or service to client needs</w:t>
      </w:r>
    </w:p>
    <w:p w:rsidR="00000000" w:rsidRPr="00C6056D" w:rsidP="00C6056D">
      <w:pPr>
        <w:pStyle w:val="ListBullet"/>
      </w:pPr>
      <w:r w:rsidRPr="00C6056D">
        <w:t>finalise product or service offering, ensuring required documentation is completed accurately following organisational procedures.</w:t>
      </w:r>
    </w:p>
    <w:p w:rsidR="00000000" w:rsidRPr="00C6056D" w:rsidP="00C6056D">
      <w:pPr>
        <w:pStyle w:val="AllowPageBreak"/>
      </w:pPr>
    </w:p>
    <w:p w:rsidR="00000000" w:rsidRPr="00C6056D" w:rsidP="00C6056D">
      <w:pPr>
        <w:pStyle w:val="Heading1"/>
      </w:pPr>
      <w:bookmarkStart w:id="3" w:name="O_1235309"/>
      <w:bookmarkEnd w:id="3"/>
      <w:r w:rsidRPr="00C6056D">
        <w:t>Knowledge Evide</w:t>
      </w:r>
      <w:r w:rsidRPr="00C6056D">
        <w:t>nce</w:t>
      </w:r>
    </w:p>
    <w:p w:rsidR="00000000" w:rsidRPr="00C6056D" w:rsidP="00695C7B">
      <w:pPr>
        <w:pStyle w:val="BodyText"/>
      </w:pPr>
      <w:r w:rsidRPr="00C6056D">
        <w:t>The candidate must be able to demonstrate knowledge to complete the tasks outlined in the elements, performance criteria and foundation skills of this unit, including knowledge of:</w:t>
      </w:r>
    </w:p>
    <w:p w:rsidR="00000000" w:rsidRPr="00C6056D" w:rsidP="00C6056D">
      <w:pPr>
        <w:pStyle w:val="Heading3"/>
      </w:pPr>
      <w:r w:rsidRPr="00C6056D">
        <w:t>General knowledge</w:t>
      </w:r>
    </w:p>
    <w:p w:rsidR="00000000" w:rsidRPr="00C6056D" w:rsidP="00C6056D">
      <w:pPr>
        <w:pStyle w:val="ListBullet"/>
      </w:pPr>
      <w:r w:rsidRPr="00C6056D">
        <w:t>overview of current economic environment, including:</w:t>
      </w:r>
    </w:p>
    <w:p w:rsidR="00000000" w:rsidRPr="00C6056D" w:rsidP="00C6056D">
      <w:pPr>
        <w:pStyle w:val="ListBullet2"/>
      </w:pPr>
      <w:r w:rsidRPr="00C6056D">
        <w:t>characteristics and impact of economic and business cycles</w:t>
      </w:r>
    </w:p>
    <w:p w:rsidR="00000000" w:rsidRPr="00C6056D" w:rsidP="00C6056D">
      <w:pPr>
        <w:pStyle w:val="ListBullet2"/>
      </w:pPr>
      <w:r w:rsidRPr="00C6056D">
        <w:t>interest rates and exchange rates</w:t>
      </w:r>
    </w:p>
    <w:p w:rsidR="00000000" w:rsidRPr="00C6056D" w:rsidP="00C6056D">
      <w:pPr>
        <w:pStyle w:val="ListBullet2"/>
      </w:pPr>
      <w:r w:rsidRPr="00C6056D">
        <w:t>inflation</w:t>
      </w:r>
    </w:p>
    <w:p w:rsidR="00000000" w:rsidRPr="00C6056D" w:rsidP="00C6056D">
      <w:pPr>
        <w:pStyle w:val="ListBullet2"/>
      </w:pPr>
      <w:r w:rsidRPr="00C6056D">
        <w:t>government monetary and fiscal policy</w:t>
      </w:r>
    </w:p>
    <w:p w:rsidR="00000000" w:rsidRPr="00C6056D" w:rsidP="00C6056D">
      <w:pPr>
        <w:pStyle w:val="ListBullet"/>
      </w:pPr>
      <w:r w:rsidRPr="00C6056D">
        <w:t>operations of financial markets, including:</w:t>
      </w:r>
    </w:p>
    <w:p w:rsidR="00000000" w:rsidRPr="00C6056D" w:rsidP="00C6056D">
      <w:pPr>
        <w:pStyle w:val="ListBullet2"/>
      </w:pPr>
      <w:r w:rsidRPr="00C6056D">
        <w:t>roles played by intermediaries and issuers</w:t>
      </w:r>
    </w:p>
    <w:p w:rsidR="00000000" w:rsidRPr="00C6056D" w:rsidP="00C6056D">
      <w:pPr>
        <w:pStyle w:val="ListBullet2"/>
      </w:pPr>
      <w:r w:rsidRPr="00C6056D">
        <w:t>structure and interrelationships within the financial markets</w:t>
      </w:r>
    </w:p>
    <w:p w:rsidR="00000000" w:rsidRPr="00C6056D" w:rsidP="00C6056D">
      <w:pPr>
        <w:pStyle w:val="ListBullet2"/>
      </w:pPr>
      <w:r w:rsidRPr="00C6056D">
        <w:t>interrelationship between industry sectors</w:t>
      </w:r>
    </w:p>
    <w:p w:rsidR="00000000" w:rsidRPr="00C6056D" w:rsidP="00C6056D">
      <w:pPr>
        <w:pStyle w:val="ListBullet"/>
      </w:pPr>
      <w:r w:rsidRPr="00C6056D">
        <w:t>financial products, including:</w:t>
      </w:r>
    </w:p>
    <w:p w:rsidR="00000000" w:rsidRPr="00C6056D" w:rsidP="00C6056D">
      <w:pPr>
        <w:pStyle w:val="ListBullet2"/>
      </w:pPr>
      <w:r w:rsidRPr="00C6056D">
        <w:t>concept of a financial product – general definition, and specific inclusions and exclusions</w:t>
      </w:r>
    </w:p>
    <w:p w:rsidR="00000000" w:rsidRPr="00C6056D" w:rsidP="00C6056D">
      <w:pPr>
        <w:pStyle w:val="ListBullet2"/>
      </w:pPr>
      <w:r w:rsidRPr="00C6056D">
        <w:t>types of financial investm</w:t>
      </w:r>
      <w:r w:rsidRPr="00C6056D">
        <w:t>ent products</w:t>
      </w:r>
    </w:p>
    <w:p w:rsidR="00000000" w:rsidRPr="00C6056D" w:rsidP="00C6056D">
      <w:pPr>
        <w:pStyle w:val="ListBullet2"/>
      </w:pPr>
      <w:r w:rsidRPr="00C6056D">
        <w:t>types of financial risk products</w:t>
      </w:r>
    </w:p>
    <w:p w:rsidR="00000000" w:rsidRPr="00C6056D" w:rsidP="00C6056D">
      <w:pPr>
        <w:pStyle w:val="BodyText"/>
      </w:pPr>
    </w:p>
    <w:p w:rsidR="00000000" w:rsidRPr="00C6056D" w:rsidP="00C6056D">
      <w:pPr>
        <w:pStyle w:val="Heading3"/>
      </w:pPr>
      <w:r w:rsidRPr="00C6056D">
        <w:t>Core insurance knowledge</w:t>
      </w:r>
    </w:p>
    <w:p w:rsidR="00000000" w:rsidRPr="00C6056D" w:rsidP="00C6056D">
      <w:pPr>
        <w:pStyle w:val="ListBullet"/>
      </w:pPr>
      <w:r w:rsidRPr="00C6056D">
        <w:t>operation of insurance markets, including:</w:t>
      </w:r>
    </w:p>
    <w:p w:rsidR="00000000" w:rsidRPr="00C6056D" w:rsidP="00C6056D">
      <w:pPr>
        <w:pStyle w:val="ListBullet2"/>
      </w:pPr>
      <w:r w:rsidRPr="00C6056D">
        <w:t>definition of insurance product</w:t>
      </w:r>
    </w:p>
    <w:p w:rsidR="00000000" w:rsidRPr="00C6056D" w:rsidP="00C6056D">
      <w:pPr>
        <w:pStyle w:val="ListBullet2"/>
      </w:pPr>
      <w:r w:rsidRPr="00C6056D">
        <w:t>characteristics of and participants in the Australian insurance market</w:t>
      </w:r>
    </w:p>
    <w:p w:rsidR="00000000" w:rsidRPr="00C6056D" w:rsidP="00C6056D">
      <w:pPr>
        <w:pStyle w:val="ListBullet2"/>
      </w:pPr>
      <w:r w:rsidRPr="00C6056D">
        <w:t>roles played by intermediaries</w:t>
      </w:r>
    </w:p>
    <w:p w:rsidR="00000000" w:rsidRPr="00C6056D" w:rsidP="00C6056D">
      <w:pPr>
        <w:pStyle w:val="ListBullet"/>
      </w:pPr>
      <w:r w:rsidRPr="00C6056D">
        <w:t>types of insurance products, including risk insurance products, investment life insurance products and general insurance products</w:t>
      </w:r>
    </w:p>
    <w:p w:rsidR="00000000" w:rsidRPr="00C6056D" w:rsidP="00C6056D">
      <w:pPr>
        <w:pStyle w:val="ListBullet"/>
      </w:pPr>
      <w:r w:rsidRPr="00C6056D">
        <w:t>aspects of insurance products, including:</w:t>
      </w:r>
    </w:p>
    <w:p w:rsidR="00000000" w:rsidRPr="00C6056D" w:rsidP="00C6056D">
      <w:pPr>
        <w:pStyle w:val="ListBullet2"/>
      </w:pPr>
      <w:r w:rsidRPr="00C6056D">
        <w:t>conditions, exclusions and levels of coverage of risk transfer products</w:t>
      </w:r>
    </w:p>
    <w:p w:rsidR="00000000" w:rsidRPr="00C6056D" w:rsidP="00C6056D">
      <w:pPr>
        <w:pStyle w:val="ListBullet2"/>
      </w:pPr>
      <w:r w:rsidRPr="00C6056D">
        <w:t>organisatio</w:t>
      </w:r>
      <w:r w:rsidRPr="00C6056D">
        <w:t>nal standards for documentation</w:t>
      </w:r>
    </w:p>
    <w:p w:rsidR="00000000" w:rsidRPr="00C6056D" w:rsidP="00C6056D">
      <w:pPr>
        <w:pStyle w:val="ListBullet2"/>
      </w:pPr>
      <w:r w:rsidRPr="00C6056D">
        <w:t>pricing</w:t>
      </w:r>
    </w:p>
    <w:p w:rsidR="00000000" w:rsidRPr="00C6056D" w:rsidP="00C6056D">
      <w:pPr>
        <w:pStyle w:val="ListBullet2"/>
      </w:pPr>
      <w:r w:rsidRPr="00C6056D">
        <w:t>fee structures and charging methodologies</w:t>
      </w:r>
    </w:p>
    <w:p w:rsidR="00000000" w:rsidRPr="00C6056D" w:rsidP="00C6056D">
      <w:pPr>
        <w:pStyle w:val="ListBullet"/>
      </w:pPr>
      <w:r w:rsidRPr="00C6056D">
        <w:t>taxation issues in relation to insurance products and markets</w:t>
      </w:r>
    </w:p>
    <w:p w:rsidR="00000000" w:rsidRPr="00C6056D" w:rsidP="00C6056D">
      <w:pPr>
        <w:pStyle w:val="ListBullet"/>
      </w:pPr>
      <w:r w:rsidRPr="00C6056D">
        <w:t>advisory functions for life insurance, including:</w:t>
      </w:r>
    </w:p>
    <w:p w:rsidR="00000000" w:rsidRPr="00C6056D" w:rsidP="00C6056D">
      <w:pPr>
        <w:pStyle w:val="ListBullet2"/>
      </w:pPr>
      <w:r w:rsidRPr="00C6056D">
        <w:t>role of insurance adviser, broker and agent</w:t>
      </w:r>
    </w:p>
    <w:p w:rsidR="00000000" w:rsidRPr="00C6056D" w:rsidP="00C6056D">
      <w:pPr>
        <w:pStyle w:val="ListBullet2"/>
      </w:pPr>
      <w:r w:rsidRPr="00C6056D">
        <w:t xml:space="preserve">participants in </w:t>
      </w:r>
      <w:r w:rsidRPr="00C6056D">
        <w:t>the insurance advisory services market</w:t>
      </w:r>
    </w:p>
    <w:p w:rsidR="00000000" w:rsidRPr="00C6056D" w:rsidP="00C6056D">
      <w:pPr>
        <w:pStyle w:val="ListBullet2"/>
      </w:pPr>
      <w:r w:rsidRPr="00C6056D">
        <w:t>range of services provided</w:t>
      </w:r>
    </w:p>
    <w:p w:rsidR="00000000" w:rsidRPr="00C6056D" w:rsidP="00C6056D">
      <w:pPr>
        <w:pStyle w:val="ListBullet2"/>
      </w:pPr>
      <w:r w:rsidRPr="00C6056D">
        <w:t>profile and financial information of the client</w:t>
      </w:r>
    </w:p>
    <w:p w:rsidR="00000000" w:rsidRPr="00C6056D" w:rsidP="00C6056D">
      <w:pPr>
        <w:pStyle w:val="ListBullet2"/>
      </w:pPr>
      <w:r w:rsidRPr="00C6056D">
        <w:t>appropriateness of a risk assessment</w:t>
      </w:r>
    </w:p>
    <w:p w:rsidR="00000000" w:rsidRPr="00C6056D" w:rsidP="00C6056D">
      <w:pPr>
        <w:pStyle w:val="ListBullet2"/>
      </w:pPr>
      <w:r w:rsidRPr="00C6056D">
        <w:t>ethical considerations relevant to advisory functions</w:t>
      </w:r>
    </w:p>
    <w:p w:rsidR="00000000" w:rsidRPr="00C6056D" w:rsidP="00C6056D">
      <w:pPr>
        <w:pStyle w:val="ListBullet"/>
      </w:pPr>
      <w:r w:rsidRPr="00C6056D">
        <w:t>key legal environment factors, including disclosure and compliance covering:</w:t>
      </w:r>
    </w:p>
    <w:p w:rsidR="00000000" w:rsidRPr="00C6056D" w:rsidP="00C6056D">
      <w:pPr>
        <w:pStyle w:val="ListBullet2"/>
      </w:pPr>
      <w:r w:rsidRPr="00C6056D">
        <w:t>role of representative and adviser</w:t>
      </w:r>
    </w:p>
    <w:p w:rsidR="00000000" w:rsidRPr="00C6056D" w:rsidP="00C6056D">
      <w:pPr>
        <w:pStyle w:val="ListBullet2"/>
      </w:pPr>
      <w:r w:rsidRPr="00C6056D">
        <w:t>legal principles relating to key Acts relevant to performance evidence</w:t>
      </w:r>
    </w:p>
    <w:p w:rsidR="00000000" w:rsidRPr="00C6056D" w:rsidP="00C6056D">
      <w:pPr>
        <w:pStyle w:val="ListBullet2"/>
      </w:pPr>
      <w:r w:rsidRPr="00C6056D">
        <w:t xml:space="preserve">relationship between ethics and regulatory requirements, including good </w:t>
      </w:r>
      <w:r w:rsidRPr="00C6056D">
        <w:t>faith, faith, utmost good faith, full disclosure of remuneration and fees, and any other conflicts of interest that may influence adviser’s recommendation</w:t>
      </w:r>
    </w:p>
    <w:p w:rsidR="00000000" w:rsidRPr="00C6056D" w:rsidP="00C6056D">
      <w:pPr>
        <w:pStyle w:val="ListBullet2"/>
      </w:pPr>
      <w:r w:rsidRPr="00C6056D">
        <w:t>relevant industry standards and codes of conduct</w:t>
      </w:r>
    </w:p>
    <w:p w:rsidR="00000000" w:rsidRPr="00C6056D" w:rsidP="00C6056D">
      <w:pPr>
        <w:pStyle w:val="ListBullet2"/>
      </w:pPr>
      <w:r w:rsidRPr="00C6056D">
        <w:t xml:space="preserve">regulators’ guidelines relevant to the provision of </w:t>
      </w:r>
      <w:r w:rsidRPr="00C6056D">
        <w:t>general or wholesale advice in life insurance</w:t>
      </w:r>
    </w:p>
    <w:p w:rsidR="00000000" w:rsidRPr="00C6056D" w:rsidP="00C6056D">
      <w:pPr>
        <w:pStyle w:val="ListBullet2"/>
      </w:pPr>
      <w:r w:rsidRPr="00C6056D">
        <w:t>resolution procedures for internal and external complaints</w:t>
      </w:r>
    </w:p>
    <w:p w:rsidR="00000000" w:rsidRPr="00C6056D" w:rsidP="00C6056D">
      <w:pPr>
        <w:pStyle w:val="Heading3"/>
      </w:pPr>
      <w:r w:rsidRPr="00C6056D">
        <w:t>Specialist knowledge</w:t>
      </w:r>
    </w:p>
    <w:p w:rsidR="00000000" w:rsidRPr="00C6056D" w:rsidP="00C6056D">
      <w:pPr>
        <w:pStyle w:val="ListBullet"/>
      </w:pPr>
      <w:r w:rsidRPr="00C6056D">
        <w:t>key aspects of life insurance, including:</w:t>
      </w:r>
    </w:p>
    <w:p w:rsidR="00000000" w:rsidRPr="00C6056D" w:rsidP="00C6056D">
      <w:pPr>
        <w:pStyle w:val="ListBullet2"/>
      </w:pPr>
      <w:r w:rsidRPr="00C6056D">
        <w:t>types and classes of life insurance products and policies</w:t>
      </w:r>
    </w:p>
    <w:p w:rsidR="00000000" w:rsidRPr="00C6056D" w:rsidP="00C6056D">
      <w:pPr>
        <w:pStyle w:val="ListBullet2"/>
      </w:pPr>
      <w:r w:rsidRPr="00C6056D">
        <w:t>standard cover and relevant deviations</w:t>
      </w:r>
    </w:p>
    <w:p w:rsidR="00000000" w:rsidRPr="00C6056D" w:rsidP="00C6056D">
      <w:pPr>
        <w:pStyle w:val="ListBullet2"/>
      </w:pPr>
      <w:r w:rsidRPr="00C6056D">
        <w:t>product development</w:t>
      </w:r>
    </w:p>
    <w:p w:rsidR="00000000" w:rsidRPr="00C6056D" w:rsidP="00C6056D">
      <w:pPr>
        <w:pStyle w:val="ListBullet2"/>
      </w:pPr>
      <w:r w:rsidRPr="00C6056D">
        <w:t>policy wordings</w:t>
      </w:r>
    </w:p>
    <w:p w:rsidR="00000000" w:rsidRPr="00C6056D" w:rsidP="00C6056D">
      <w:pPr>
        <w:pStyle w:val="ListBullet2"/>
      </w:pPr>
      <w:r w:rsidRPr="00C6056D">
        <w:t>underwriting</w:t>
      </w:r>
    </w:p>
    <w:p w:rsidR="00000000" w:rsidRPr="00C6056D" w:rsidP="00C6056D">
      <w:pPr>
        <w:pStyle w:val="ListBullet2"/>
      </w:pPr>
      <w:r w:rsidRPr="00C6056D">
        <w:t>insurance claims</w:t>
      </w:r>
    </w:p>
    <w:p w:rsidR="00000000" w:rsidRPr="00C6056D" w:rsidP="00C6056D">
      <w:pPr>
        <w:pStyle w:val="ListBullet2"/>
      </w:pPr>
      <w:r w:rsidRPr="00C6056D">
        <w:t>premium rating and risk assessment</w:t>
      </w:r>
    </w:p>
    <w:p w:rsidR="00000000" w:rsidRPr="00C6056D" w:rsidP="00C6056D">
      <w:pPr>
        <w:pStyle w:val="ListBullet2"/>
      </w:pPr>
      <w:r w:rsidRPr="00C6056D">
        <w:t>investment strategy in relation to investment components of life insurance products.</w:t>
      </w:r>
    </w:p>
    <w:p w:rsidR="00000000" w:rsidRPr="00C6056D" w:rsidP="00C6056D">
      <w:pPr>
        <w:pStyle w:val="AllowPageBreak"/>
      </w:pPr>
    </w:p>
    <w:p w:rsidR="00000000" w:rsidRPr="00C6056D" w:rsidP="00C6056D">
      <w:pPr>
        <w:pStyle w:val="Heading1"/>
      </w:pPr>
      <w:bookmarkStart w:id="4" w:name="O_1235310"/>
      <w:bookmarkEnd w:id="4"/>
      <w:r w:rsidRPr="00C6056D">
        <w:t>Assessment C</w:t>
      </w:r>
      <w:r w:rsidRPr="00C6056D">
        <w:t>onditions</w:t>
      </w:r>
    </w:p>
    <w:p w:rsidR="00000000" w:rsidRPr="00C6056D" w:rsidP="00695C7B">
      <w:pPr>
        <w:pStyle w:val="BodyText"/>
      </w:pPr>
      <w:r w:rsidRPr="00C6056D">
        <w:t>Skills in this unit must be demonstrated in a workplace or simulated environment where the conditions are typical of those in a working environment in this industry.</w:t>
      </w:r>
    </w:p>
    <w:p w:rsidR="00000000" w:rsidRPr="00C6056D" w:rsidP="00695C7B">
      <w:pPr>
        <w:pStyle w:val="BodyText"/>
      </w:pPr>
      <w:r w:rsidRPr="00C6056D">
        <w:t>This includes access to:</w:t>
      </w:r>
    </w:p>
    <w:p w:rsidR="00000000" w:rsidRPr="00C6056D" w:rsidP="00C6056D">
      <w:pPr>
        <w:pStyle w:val="ListBullet"/>
      </w:pPr>
      <w:r w:rsidRPr="00C6056D">
        <w:t>office equipment, technology, software and consumables</w:t>
      </w:r>
      <w:r w:rsidRPr="00C6056D">
        <w:t xml:space="preserve"> used to provide general advice in life insurance</w:t>
      </w:r>
    </w:p>
    <w:p w:rsidR="00000000" w:rsidRPr="00C6056D" w:rsidP="00C6056D">
      <w:pPr>
        <w:pStyle w:val="ListBullet"/>
      </w:pPr>
      <w:r w:rsidRPr="00C6056D">
        <w:t>clients requiring general advice in life insurance</w:t>
      </w:r>
    </w:p>
    <w:p w:rsidR="00000000" w:rsidRPr="00C6056D" w:rsidP="00C6056D">
      <w:pPr>
        <w:pStyle w:val="ListBullet"/>
      </w:pPr>
      <w:r w:rsidRPr="00C6056D">
        <w:t>organisational records</w:t>
      </w:r>
    </w:p>
    <w:p w:rsidR="00000000" w:rsidRPr="00C6056D" w:rsidP="00C6056D">
      <w:pPr>
        <w:pStyle w:val="ListBullet"/>
      </w:pPr>
      <w:r w:rsidRPr="00C6056D">
        <w:t>organisational policies and procedures.</w:t>
      </w:r>
    </w:p>
    <w:p w:rsidR="00000000" w:rsidRPr="00C6056D" w:rsidP="00C6056D">
      <w:pPr>
        <w:pStyle w:val="BodyText"/>
      </w:pPr>
    </w:p>
    <w:p w:rsidR="00000000" w:rsidRPr="00C6056D" w:rsidP="00695C7B">
      <w:pPr>
        <w:pStyle w:val="BodyText"/>
      </w:pPr>
      <w:r w:rsidRPr="00C6056D">
        <w:t>Assessors of this unit must satisfy the requirements for assessors in applicable vocational education and training legislation, frameworks and/or standards.</w:t>
      </w:r>
    </w:p>
    <w:p w:rsidR="00000000" w:rsidRPr="00C6056D" w:rsidP="00C6056D">
      <w:pPr>
        <w:pStyle w:val="Heading1"/>
      </w:pPr>
      <w:bookmarkStart w:id="5" w:name="O_1235313"/>
      <w:bookmarkEnd w:id="5"/>
      <w:r w:rsidRPr="00C6056D">
        <w:t>Links</w:t>
      </w:r>
    </w:p>
    <w:p w:rsidR="00000000" w:rsidRPr="00C6056D" w:rsidP="00695C7B">
      <w:pPr>
        <w:pStyle w:val="BodyText"/>
      </w:pPr>
      <w:r w:rsidRPr="00C6056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A548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6056D" w:rsidP="00C6056D"/>
    <w:sectPr w:rsidSect="00C605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5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56D" w:rsidRPr="00695C7B" w:rsidP="00695C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5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7B" w:rsidP="00C605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5C7B" w:rsidP="00C605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5C7B" w:rsidP="00C605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5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056D" w:rsidRPr="00695C7B" w:rsidP="00695C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5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7B" w:rsidRPr="002D2AF8" w:rsidP="00C605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FNSASICM513 Provide general advice in life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95C7B" w:rsidP="00C605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267E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E831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D66F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5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5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5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5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5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5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5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5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5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5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5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56D"/>
  </w:style>
  <w:style w:type="character" w:customStyle="1" w:styleId="Heading1Char">
    <w:name w:val="Heading 1 Char"/>
    <w:basedOn w:val="DefaultParagraphFont"/>
    <w:link w:val="Heading1"/>
    <w:rsid w:val="00C605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C605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C605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5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05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056D"/>
    <w:rPr>
      <w:b/>
      <w:spacing w:val="0"/>
    </w:rPr>
  </w:style>
  <w:style w:type="paragraph" w:styleId="ListBullet2">
    <w:name w:val="List Bullet 2"/>
    <w:basedOn w:val="List2"/>
    <w:rsid w:val="00C605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05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05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05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C605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5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5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5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5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5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5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5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5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5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5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5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05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05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05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5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5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05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5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5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5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5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5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5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5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5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056D"/>
    <w:rPr>
      <w:i/>
    </w:rPr>
  </w:style>
  <w:style w:type="paragraph" w:styleId="Caption">
    <w:name w:val="caption"/>
    <w:basedOn w:val="BodyText"/>
    <w:next w:val="Normal"/>
    <w:qFormat/>
    <w:rsid w:val="00C605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5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5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56D"/>
  </w:style>
  <w:style w:type="paragraph" w:styleId="TableofFigures">
    <w:name w:val="table of figures"/>
    <w:basedOn w:val="Normal"/>
    <w:next w:val="Normal"/>
    <w:semiHidden/>
    <w:rsid w:val="00C605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5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056D"/>
    <w:rPr>
      <w:rFonts w:ascii="Wingdings" w:hAnsi="Wingdings"/>
    </w:rPr>
  </w:style>
  <w:style w:type="paragraph" w:customStyle="1" w:styleId="TableHeading">
    <w:name w:val="Table Heading"/>
    <w:basedOn w:val="HeadingBase"/>
    <w:rsid w:val="00C605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56D"/>
    <w:rPr>
      <w:color w:val="0033CC"/>
      <w:u w:val="none"/>
    </w:rPr>
  </w:style>
  <w:style w:type="paragraph" w:customStyle="1" w:styleId="BodyTextRight">
    <w:name w:val="Body Text Right"/>
    <w:basedOn w:val="BodyText"/>
    <w:rsid w:val="00C605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5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5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5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5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5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56D"/>
    <w:rPr>
      <w:sz w:val="32"/>
    </w:rPr>
  </w:style>
  <w:style w:type="paragraph" w:customStyle="1" w:styleId="HeadingProcedure">
    <w:name w:val="Heading Procedure"/>
    <w:basedOn w:val="HeadingBase"/>
    <w:next w:val="Normal"/>
    <w:rsid w:val="00C605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56D"/>
    <w:pPr>
      <w:spacing w:before="60" w:after="60"/>
    </w:pPr>
  </w:style>
  <w:style w:type="paragraph" w:styleId="ListContinue">
    <w:name w:val="List Continue"/>
    <w:basedOn w:val="List"/>
    <w:rsid w:val="00C6056D"/>
    <w:pPr>
      <w:ind w:firstLine="0"/>
    </w:pPr>
  </w:style>
  <w:style w:type="paragraph" w:customStyle="1" w:styleId="ListNote">
    <w:name w:val="List Note"/>
    <w:basedOn w:val="List"/>
    <w:rsid w:val="00C605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5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5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56D"/>
    <w:rPr>
      <w:rFonts w:ascii="Courier New" w:hAnsi="Courier New"/>
    </w:rPr>
  </w:style>
  <w:style w:type="paragraph" w:customStyle="1" w:styleId="NoteBullet">
    <w:name w:val="Note Bullet"/>
    <w:basedOn w:val="Note"/>
    <w:rsid w:val="00C605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5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5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5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5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05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5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56D"/>
    <w:rPr>
      <w:b/>
      <w:smallCaps/>
    </w:rPr>
  </w:style>
  <w:style w:type="paragraph" w:customStyle="1" w:styleId="TableListNumber">
    <w:name w:val="Table List Number"/>
    <w:basedOn w:val="ListNumber"/>
    <w:rsid w:val="00C605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5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56D"/>
    <w:pPr>
      <w:numPr>
        <w:numId w:val="9"/>
      </w:numPr>
    </w:pPr>
  </w:style>
  <w:style w:type="paragraph" w:customStyle="1" w:styleId="ListAlpha2">
    <w:name w:val="List Alpha 2"/>
    <w:basedOn w:val="List2"/>
    <w:rsid w:val="00C6056D"/>
    <w:pPr>
      <w:numPr>
        <w:numId w:val="8"/>
      </w:numPr>
    </w:pPr>
  </w:style>
  <w:style w:type="paragraph" w:styleId="List2">
    <w:name w:val="List 2"/>
    <w:basedOn w:val="BodyText"/>
    <w:rsid w:val="00C605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5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5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5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5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5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056D"/>
    <w:pPr>
      <w:numPr>
        <w:numId w:val="4"/>
      </w:numPr>
    </w:pPr>
  </w:style>
  <w:style w:type="paragraph" w:styleId="ListContinue2">
    <w:name w:val="List Continue 2"/>
    <w:basedOn w:val="List2"/>
    <w:rsid w:val="00C6056D"/>
    <w:pPr>
      <w:ind w:firstLine="0"/>
    </w:pPr>
  </w:style>
  <w:style w:type="paragraph" w:styleId="ListContinue3">
    <w:name w:val="List Continue 3"/>
    <w:basedOn w:val="List3"/>
    <w:rsid w:val="00C6056D"/>
    <w:pPr>
      <w:ind w:left="1021" w:firstLine="0"/>
    </w:pPr>
  </w:style>
  <w:style w:type="paragraph" w:styleId="ListContinue4">
    <w:name w:val="List Continue 4"/>
    <w:basedOn w:val="List4"/>
    <w:rsid w:val="00C6056D"/>
    <w:pPr>
      <w:ind w:firstLine="0"/>
    </w:pPr>
  </w:style>
  <w:style w:type="paragraph" w:styleId="ListContinue5">
    <w:name w:val="List Continue 5"/>
    <w:basedOn w:val="List5"/>
    <w:rsid w:val="00C6056D"/>
    <w:pPr>
      <w:ind w:firstLine="0"/>
    </w:pPr>
  </w:style>
  <w:style w:type="paragraph" w:styleId="ListNumber3">
    <w:name w:val="List Number 3"/>
    <w:basedOn w:val="List3"/>
    <w:rsid w:val="00C6056D"/>
    <w:pPr>
      <w:numPr>
        <w:numId w:val="5"/>
      </w:numPr>
    </w:pPr>
  </w:style>
  <w:style w:type="paragraph" w:styleId="ListNumber4">
    <w:name w:val="List Number 4"/>
    <w:basedOn w:val="List4"/>
    <w:rsid w:val="00C6056D"/>
    <w:pPr>
      <w:numPr>
        <w:numId w:val="6"/>
      </w:numPr>
    </w:pPr>
  </w:style>
  <w:style w:type="paragraph" w:styleId="ListNumber5">
    <w:name w:val="List Number 5"/>
    <w:basedOn w:val="List5"/>
    <w:rsid w:val="00C6056D"/>
    <w:pPr>
      <w:numPr>
        <w:numId w:val="7"/>
      </w:numPr>
    </w:pPr>
  </w:style>
  <w:style w:type="paragraph" w:styleId="BlockText">
    <w:name w:val="Block Text"/>
    <w:basedOn w:val="Normal"/>
    <w:rsid w:val="00C605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5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56D"/>
    <w:rPr>
      <w:sz w:val="16"/>
      <w:vertAlign w:val="superscript"/>
    </w:rPr>
  </w:style>
  <w:style w:type="character" w:customStyle="1" w:styleId="Symbols">
    <w:name w:val="Symbols"/>
    <w:basedOn w:val="DefaultParagraphFont"/>
    <w:rsid w:val="00C6056D"/>
    <w:rPr>
      <w:rFonts w:ascii="Symbol" w:hAnsi="Symbol"/>
    </w:rPr>
  </w:style>
  <w:style w:type="character" w:customStyle="1" w:styleId="MenuOptions">
    <w:name w:val="Menu Options"/>
    <w:basedOn w:val="DefaultParagraphFont"/>
    <w:rsid w:val="00C605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56D"/>
    <w:rPr>
      <w:b/>
    </w:rPr>
  </w:style>
  <w:style w:type="character" w:customStyle="1" w:styleId="Underlined">
    <w:name w:val="Underlined"/>
    <w:basedOn w:val="DefaultParagraphFont"/>
    <w:rsid w:val="00C6056D"/>
    <w:rPr>
      <w:u w:val="single"/>
    </w:rPr>
  </w:style>
  <w:style w:type="paragraph" w:customStyle="1" w:styleId="TableBodyTextRight">
    <w:name w:val="Table Body Text Right"/>
    <w:basedOn w:val="TableBodyText"/>
    <w:rsid w:val="00C605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56D"/>
    <w:rPr>
      <w:sz w:val="18"/>
    </w:rPr>
  </w:style>
  <w:style w:type="paragraph" w:customStyle="1" w:styleId="BodySmallRight">
    <w:name w:val="Body Small Right"/>
    <w:basedOn w:val="BodyTextRight"/>
    <w:rsid w:val="00C6056D"/>
    <w:rPr>
      <w:sz w:val="18"/>
      <w:szCs w:val="18"/>
    </w:rPr>
  </w:style>
  <w:style w:type="paragraph" w:customStyle="1" w:styleId="MarginEdition">
    <w:name w:val="Margin Edition"/>
    <w:basedOn w:val="MarginNote"/>
    <w:rsid w:val="00C605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56D"/>
    <w:rPr>
      <w:sz w:val="2"/>
      <w:szCs w:val="2"/>
    </w:rPr>
  </w:style>
  <w:style w:type="character" w:customStyle="1" w:styleId="Small">
    <w:name w:val="Small"/>
    <w:basedOn w:val="DefaultParagraphFont"/>
    <w:rsid w:val="00C6056D"/>
    <w:rPr>
      <w:sz w:val="16"/>
    </w:rPr>
  </w:style>
  <w:style w:type="paragraph" w:customStyle="1" w:styleId="WideTable">
    <w:name w:val="Wide Table"/>
    <w:basedOn w:val="Normal"/>
    <w:rsid w:val="00C605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56D"/>
  </w:style>
  <w:style w:type="paragraph" w:styleId="Quote">
    <w:name w:val="Quote"/>
    <w:basedOn w:val="Heading1"/>
    <w:link w:val="QuoteChar"/>
    <w:qFormat/>
    <w:rsid w:val="00C605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5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56D"/>
    <w:pPr>
      <w:pageBreakBefore/>
    </w:pPr>
  </w:style>
  <w:style w:type="paragraph" w:customStyle="1" w:styleId="Border">
    <w:name w:val="Border"/>
    <w:basedOn w:val="Normal"/>
    <w:qFormat/>
    <w:rsid w:val="00C605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5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5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5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5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5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5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5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5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56D"/>
    <w:rPr>
      <w:u w:val="single"/>
    </w:rPr>
  </w:style>
  <w:style w:type="character" w:customStyle="1" w:styleId="BoldandItalics">
    <w:name w:val="Bold and Italics"/>
    <w:qFormat/>
    <w:rsid w:val="00C6056D"/>
    <w:rPr>
      <w:b/>
      <w:i/>
      <w:u w:val="none"/>
    </w:rPr>
  </w:style>
  <w:style w:type="paragraph" w:styleId="BalloonText">
    <w:name w:val="Balloon Text"/>
    <w:basedOn w:val="Normal"/>
    <w:link w:val="BalloonTextChar"/>
    <w:rsid w:val="00C605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5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5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5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5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5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056D"/>
    <w:pPr>
      <w:spacing w:before="0" w:after="0"/>
    </w:pPr>
  </w:style>
  <w:style w:type="paragraph" w:customStyle="1" w:styleId="BodyTextBold">
    <w:name w:val="Body Text Bold"/>
    <w:basedOn w:val="BodyText"/>
    <w:qFormat/>
    <w:rsid w:val="00C6056D"/>
    <w:rPr>
      <w:b/>
    </w:rPr>
  </w:style>
  <w:style w:type="character" w:styleId="Hyperlink">
    <w:name w:val="Hyperlink"/>
    <w:basedOn w:val="DefaultParagraphFont"/>
    <w:uiPriority w:val="99"/>
    <w:unhideWhenUsed/>
    <w:rsid w:val="00695C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4221</Characters>
  <Application>Microsoft Office Word</Application>
  <DocSecurity>0</DocSecurity>
  <Lines>114</Lines>
  <Paragraphs>95</Paragraphs>
  <ScaleCrop>false</ScaleCrop>
  <Company>Author-it Software Corporation Ltd.</Company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FNSASICM513 Provide general advice in life insurance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2022-11-03T07:35:00Z</dcterms:created>
  <dcterms:modified xsi:type="dcterms:W3CDTF">2022-11-03T07:35:00Z</dcterms:modified>
</cp:coreProperties>
</file>