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655" w:rsidP="008E3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FNSASICL503 Provide advice in the regulated emissions market</w:t>
      </w:r>
      <w:r>
        <w:fldChar w:fldCharType="end"/>
      </w:r>
    </w:p>
    <w:p w:rsidR="008E3655" w:rsidP="008E3655">
      <w:pPr>
        <w:pStyle w:val="Version"/>
        <w:sectPr w:rsidSect="008C51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103" w:rsidP="008C5103">
      <w:pPr>
        <w:pStyle w:val="SuperHeading"/>
      </w:pPr>
      <w:r w:rsidRPr="008C5103">
        <w:t>Assessment Requirements for FNSASICL503 Provide advice in the regulated emissions market</w:t>
      </w:r>
    </w:p>
    <w:p w:rsidR="00000000" w:rsidRPr="008C5103" w:rsidP="008C5103">
      <w:pPr>
        <w:pStyle w:val="Heading1"/>
      </w:pPr>
      <w:bookmarkStart w:id="1" w:name="O_672018"/>
      <w:bookmarkEnd w:id="1"/>
      <w:r w:rsidRPr="008C51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5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03" w:rsidP="008C5103">
            <w:pPr>
              <w:pStyle w:val="BodyText"/>
            </w:pPr>
            <w:r w:rsidRPr="008C51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03">
            <w:pPr>
              <w:pStyle w:val="BodyText"/>
              <w:rPr>
                <w:lang w:val="en-NZ"/>
              </w:rPr>
            </w:pPr>
            <w:r w:rsidRPr="008C5103">
              <w:rPr>
                <w:rStyle w:val="SpecialBold"/>
              </w:rPr>
              <w:t>Comments</w:t>
            </w:r>
          </w:p>
        </w:tc>
      </w:tr>
      <w:tr w:rsidTr="008C5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03">
            <w:pPr>
              <w:pStyle w:val="BodyText"/>
              <w:rPr>
                <w:lang w:val="en-NZ"/>
              </w:rPr>
            </w:pPr>
            <w:r w:rsidRPr="008C51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03" w:rsidP="008C5103">
            <w:pPr>
              <w:pStyle w:val="BodyText"/>
            </w:pPr>
            <w:r w:rsidRPr="008C5103">
              <w:t>This version first released with FNS Financial Services Training Package Version 1.0.</w:t>
            </w:r>
          </w:p>
        </w:tc>
      </w:tr>
    </w:tbl>
    <w:p w:rsidR="00000000" w:rsidRPr="008C5103" w:rsidP="008C5103">
      <w:pPr>
        <w:pStyle w:val="BodyText"/>
      </w:pPr>
    </w:p>
    <w:p w:rsidR="00000000" w:rsidRPr="008C5103" w:rsidP="008C5103">
      <w:pPr>
        <w:pStyle w:val="AllowPageBreak"/>
      </w:pPr>
    </w:p>
    <w:p w:rsidR="00000000" w:rsidRPr="008C5103" w:rsidP="008C5103">
      <w:pPr>
        <w:pStyle w:val="Heading1"/>
      </w:pPr>
      <w:bookmarkStart w:id="2" w:name="O_672019"/>
      <w:bookmarkEnd w:id="2"/>
      <w:r w:rsidRPr="008C5103">
        <w:t>Performance Evidence</w:t>
      </w:r>
    </w:p>
    <w:p w:rsidR="00000000" w:rsidRPr="008C5103" w:rsidP="008E3655">
      <w:pPr>
        <w:pStyle w:val="BodyText"/>
      </w:pPr>
      <w:r w:rsidRPr="008C5103">
        <w:t>Evidence of the ability to:</w:t>
      </w:r>
    </w:p>
    <w:p w:rsidR="00000000" w:rsidRPr="008C5103" w:rsidP="008C5103">
      <w:pPr>
        <w:pStyle w:val="ListBullet"/>
      </w:pPr>
      <w:r w:rsidRPr="008C5103">
        <w:t>establish and define the nature and scope of the client and adviser relationship</w:t>
      </w:r>
    </w:p>
    <w:p w:rsidR="00000000" w:rsidRPr="008C5103" w:rsidP="008C5103">
      <w:pPr>
        <w:pStyle w:val="ListBullet"/>
      </w:pPr>
      <w:r w:rsidRPr="008C5103">
        <w:t>collect qualitative and quantitative information to perform strategic analysis within the regulated emissions markets</w:t>
      </w:r>
    </w:p>
    <w:p w:rsidR="00000000" w:rsidRPr="008C5103" w:rsidP="008C5103">
      <w:pPr>
        <w:pStyle w:val="ListBullet"/>
      </w:pPr>
      <w:r w:rsidRPr="008C5103">
        <w:t>develop a strategic plan in emissions products that is appropriate for the client profile</w:t>
      </w:r>
    </w:p>
    <w:p w:rsidR="00000000" w:rsidRPr="008C5103" w:rsidP="008C5103">
      <w:pPr>
        <w:pStyle w:val="ListBullet"/>
      </w:pPr>
      <w:r w:rsidRPr="008C5103">
        <w:t>evaluate the financial strategy with respect to local and international financial markets and factors influencing the regulated emissions market</w:t>
      </w:r>
    </w:p>
    <w:p w:rsidR="00000000" w:rsidRPr="008C5103" w:rsidP="008C5103">
      <w:pPr>
        <w:pStyle w:val="ListBullet"/>
      </w:pPr>
      <w:r w:rsidRPr="008C5103">
        <w:t xml:space="preserve">develop advice that </w:t>
      </w:r>
      <w:r w:rsidRPr="008C5103">
        <w:t>adheres to relevant regulatory, ethical, industry and organisational requirements</w:t>
      </w:r>
    </w:p>
    <w:p w:rsidR="00000000" w:rsidRPr="008C5103" w:rsidP="008C5103">
      <w:pPr>
        <w:pStyle w:val="ListBullet"/>
      </w:pPr>
      <w:r w:rsidRPr="008C5103">
        <w:t>demonstrate application of ethical principles in decision making during the advising process</w:t>
      </w:r>
    </w:p>
    <w:p w:rsidR="00000000" w:rsidRPr="008C5103" w:rsidP="008C5103">
      <w:pPr>
        <w:pStyle w:val="ListBullet"/>
      </w:pPr>
      <w:r w:rsidRPr="008C5103">
        <w:t>communicate the details of a financial advice document and establish client under</w:t>
      </w:r>
      <w:r w:rsidRPr="008C5103">
        <w:t>standing of the proposal.</w:t>
      </w:r>
    </w:p>
    <w:p w:rsidR="00000000" w:rsidRPr="008C5103" w:rsidP="008C5103">
      <w:pPr>
        <w:pStyle w:val="BodyText"/>
      </w:pPr>
    </w:p>
    <w:p w:rsidR="00000000" w:rsidRPr="008C5103" w:rsidP="008E3655">
      <w:pPr>
        <w:pStyle w:val="BodyText"/>
      </w:pPr>
      <w:r w:rsidRPr="008C5103">
        <w:t>Note: If a specific volume or frequency is not stated, then evidence must be provided at least once.</w:t>
      </w:r>
    </w:p>
    <w:p w:rsidR="00000000" w:rsidRPr="008C5103" w:rsidP="008C5103">
      <w:pPr>
        <w:pStyle w:val="Heading1"/>
      </w:pPr>
      <w:bookmarkStart w:id="3" w:name="O_672020"/>
      <w:bookmarkEnd w:id="3"/>
      <w:r w:rsidRPr="008C5103">
        <w:t>Knowledge Evidence</w:t>
      </w:r>
    </w:p>
    <w:p w:rsidR="00000000" w:rsidRPr="008C5103" w:rsidP="008E3655">
      <w:pPr>
        <w:pStyle w:val="BodyText"/>
      </w:pPr>
      <w:r w:rsidRPr="008C5103">
        <w:t>To complete the unit requirements safely and effectively, the individual must satisfy generi</w:t>
      </w:r>
      <w:r w:rsidRPr="008C5103">
        <w:t>c and specialist knowledge requirements relevant to the products and activities in which advice is given.</w:t>
      </w:r>
    </w:p>
    <w:p w:rsidR="00000000" w:rsidRPr="008C5103" w:rsidP="008E3655">
      <w:pPr>
        <w:pStyle w:val="Heading3"/>
      </w:pPr>
      <w:r w:rsidRPr="008C5103">
        <w:rPr>
          <w:rStyle w:val="SpecialBold"/>
        </w:rPr>
        <w:t xml:space="preserve">Generic knowledge </w:t>
      </w:r>
    </w:p>
    <w:p w:rsidR="00000000" w:rsidRPr="008C5103" w:rsidP="008C5103">
      <w:pPr>
        <w:pStyle w:val="ListBullet"/>
      </w:pPr>
      <w:r w:rsidRPr="008C5103">
        <w:t>analyse and provide an overview of the economic environment including:</w:t>
      </w:r>
    </w:p>
    <w:p w:rsidR="00000000" w:rsidRPr="008C5103" w:rsidP="008C5103">
      <w:pPr>
        <w:pStyle w:val="ListBullet2"/>
      </w:pPr>
      <w:r w:rsidRPr="008C5103">
        <w:t>characteristics and impact of economic and business cycle</w:t>
      </w:r>
      <w:r w:rsidRPr="008C5103">
        <w:t>s</w:t>
      </w:r>
    </w:p>
    <w:p w:rsidR="00000000" w:rsidRPr="008C5103" w:rsidP="008C5103">
      <w:pPr>
        <w:pStyle w:val="ListBullet2"/>
      </w:pPr>
      <w:r w:rsidRPr="008C5103">
        <w:t>interest rates and exchange rates</w:t>
      </w:r>
    </w:p>
    <w:p w:rsidR="00000000" w:rsidRPr="008C5103" w:rsidP="008C5103">
      <w:pPr>
        <w:pStyle w:val="ListBullet2"/>
      </w:pPr>
      <w:r w:rsidRPr="008C5103">
        <w:t>inflation</w:t>
      </w:r>
    </w:p>
    <w:p w:rsidR="00000000" w:rsidRPr="008C5103" w:rsidP="008C5103">
      <w:pPr>
        <w:pStyle w:val="ListBullet2"/>
      </w:pPr>
      <w:r w:rsidRPr="008C5103">
        <w:t>government monetary and fiscal policy</w:t>
      </w:r>
    </w:p>
    <w:p w:rsidR="00000000" w:rsidRPr="008C5103" w:rsidP="008C5103">
      <w:pPr>
        <w:pStyle w:val="ListBullet"/>
      </w:pPr>
      <w:r w:rsidRPr="008C5103">
        <w:t>analyse and provide a detailed explanation of the operation of financial markets including:</w:t>
      </w:r>
    </w:p>
    <w:p w:rsidR="00000000" w:rsidRPr="008C5103" w:rsidP="008C5103">
      <w:pPr>
        <w:pStyle w:val="ListBullet2"/>
      </w:pPr>
      <w:r w:rsidRPr="008C5103">
        <w:t>roles played by intermediaries and issuers</w:t>
      </w:r>
    </w:p>
    <w:p w:rsidR="00000000" w:rsidRPr="008C5103" w:rsidP="008C5103">
      <w:pPr>
        <w:pStyle w:val="ListBullet2"/>
      </w:pPr>
      <w:r w:rsidRPr="008C5103">
        <w:t>structure and interrelationships within the financial markets</w:t>
      </w:r>
    </w:p>
    <w:p w:rsidR="00000000" w:rsidRPr="008C5103" w:rsidP="008C5103">
      <w:pPr>
        <w:pStyle w:val="ListBullet2"/>
      </w:pPr>
      <w:r w:rsidRPr="008C5103">
        <w:t xml:space="preserve">interrelationship between industry sectors </w:t>
      </w:r>
    </w:p>
    <w:p w:rsidR="00000000" w:rsidRPr="008C5103" w:rsidP="008C5103">
      <w:pPr>
        <w:pStyle w:val="ListBullet"/>
      </w:pPr>
      <w:r w:rsidRPr="008C5103">
        <w:t>outline financial products including:</w:t>
      </w:r>
    </w:p>
    <w:p w:rsidR="00000000" w:rsidRPr="008C5103" w:rsidP="008C5103">
      <w:pPr>
        <w:pStyle w:val="ListBullet2"/>
      </w:pPr>
      <w:r w:rsidRPr="008C5103">
        <w:t>concept of a financial product: general definition, and specific inclusions and exclusions</w:t>
      </w:r>
    </w:p>
    <w:p w:rsidR="00000000" w:rsidRPr="008C5103" w:rsidP="008C5103">
      <w:pPr>
        <w:pStyle w:val="ListBullet2"/>
      </w:pPr>
      <w:r w:rsidRPr="008C5103">
        <w:t xml:space="preserve">types of financial </w:t>
      </w:r>
      <w:r w:rsidRPr="008C5103">
        <w:t>investment products</w:t>
      </w:r>
    </w:p>
    <w:p w:rsidR="00000000" w:rsidRPr="008C5103" w:rsidP="008C5103">
      <w:pPr>
        <w:pStyle w:val="ListBullet2"/>
      </w:pPr>
      <w:r w:rsidRPr="008C5103">
        <w:t>types of financial risk products.</w:t>
      </w:r>
    </w:p>
    <w:p w:rsidR="00000000" w:rsidRPr="008C5103" w:rsidP="008C5103">
      <w:pPr>
        <w:pStyle w:val="BodyText"/>
      </w:pPr>
    </w:p>
    <w:p w:rsidR="00000000" w:rsidRPr="008C5103" w:rsidP="008E3655">
      <w:pPr>
        <w:pStyle w:val="Heading3"/>
      </w:pPr>
      <w:r w:rsidRPr="008C5103">
        <w:rPr>
          <w:rStyle w:val="SpecialBold"/>
        </w:rPr>
        <w:t>Specialist knowledge</w:t>
      </w:r>
    </w:p>
    <w:p w:rsidR="00000000" w:rsidRPr="008C5103" w:rsidP="008C5103">
      <w:pPr>
        <w:pStyle w:val="ListBullet"/>
      </w:pPr>
      <w:r w:rsidRPr="008C5103">
        <w:t>describe types of regulated emissions units, and their characteristics (encompassing carbon units, Australian carbon credit units (ACCU) and eligible international emissions units</w:t>
      </w:r>
      <w:r w:rsidRPr="008C5103">
        <w:t xml:space="preserve">), including their status as personal property, and how they are typically derived from inception to the point of acquiring status as a financial product </w:t>
      </w:r>
    </w:p>
    <w:p w:rsidR="00000000" w:rsidRPr="008C5103" w:rsidP="008C5103">
      <w:pPr>
        <w:pStyle w:val="ListBullet"/>
      </w:pPr>
      <w:r w:rsidRPr="008C5103">
        <w:t xml:space="preserve">analyse risks associated with each type of regulated emission unit, including restrictions on their use, transfer and bankability for future use </w:t>
      </w:r>
    </w:p>
    <w:p w:rsidR="00000000" w:rsidRPr="008C5103" w:rsidP="008C5103">
      <w:pPr>
        <w:pStyle w:val="ListBullet"/>
      </w:pPr>
      <w:r w:rsidRPr="008C5103">
        <w:t>describe risk characteristics and mitigating strategies relative to regulated emissions including:</w:t>
      </w:r>
    </w:p>
    <w:p w:rsidR="00000000" w:rsidRPr="008C5103" w:rsidP="008C5103">
      <w:pPr>
        <w:pStyle w:val="ListBullet2"/>
      </w:pPr>
      <w:r w:rsidRPr="008C5103">
        <w:t>regulatory</w:t>
      </w:r>
      <w:r w:rsidRPr="008C5103">
        <w:t xml:space="preserve"> risk</w:t>
      </w:r>
    </w:p>
    <w:p w:rsidR="00000000" w:rsidRPr="008C5103" w:rsidP="008C5103">
      <w:pPr>
        <w:pStyle w:val="ListBullet2"/>
      </w:pPr>
      <w:r w:rsidRPr="008C5103">
        <w:t>documentation risk</w:t>
      </w:r>
    </w:p>
    <w:p w:rsidR="00000000" w:rsidRPr="008C5103" w:rsidP="008C5103">
      <w:pPr>
        <w:pStyle w:val="ListBullet2"/>
      </w:pPr>
      <w:r w:rsidRPr="008C5103">
        <w:t>market and pricing risk</w:t>
      </w:r>
    </w:p>
    <w:p w:rsidR="00000000" w:rsidRPr="008C5103" w:rsidP="008C5103">
      <w:pPr>
        <w:pStyle w:val="ListBullet2"/>
      </w:pPr>
      <w:r w:rsidRPr="008C5103">
        <w:t>fraud</w:t>
      </w:r>
    </w:p>
    <w:p w:rsidR="00000000" w:rsidRPr="008C5103" w:rsidP="008C5103">
      <w:pPr>
        <w:pStyle w:val="ListBullet2"/>
      </w:pPr>
      <w:r w:rsidRPr="008C5103">
        <w:t>emerging market risk</w:t>
      </w:r>
    </w:p>
    <w:p w:rsidR="00000000" w:rsidRPr="008C5103" w:rsidP="008C5103">
      <w:pPr>
        <w:pStyle w:val="ListBullet2"/>
      </w:pPr>
      <w:r w:rsidRPr="008C5103">
        <w:t>counterparty risk</w:t>
      </w:r>
    </w:p>
    <w:p w:rsidR="00000000" w:rsidRPr="008C5103" w:rsidP="008C5103">
      <w:pPr>
        <w:pStyle w:val="ListBullet"/>
      </w:pPr>
      <w:r w:rsidRPr="008C5103">
        <w:t>explain processes for acquiring, transferring and surrendering regulated emissions units, including compliance with the requirements of the Australian National R</w:t>
      </w:r>
      <w:r w:rsidRPr="008C5103">
        <w:t xml:space="preserve">egistry of Emissions Units </w:t>
      </w:r>
    </w:p>
    <w:p w:rsidR="00000000" w:rsidRPr="008C5103" w:rsidP="008C5103">
      <w:pPr>
        <w:pStyle w:val="ListBullet"/>
      </w:pPr>
      <w:r w:rsidRPr="008C5103">
        <w:t>analyse and summarise key features of the operation of carbon markets including:</w:t>
      </w:r>
    </w:p>
    <w:p w:rsidR="00000000" w:rsidRPr="008C5103" w:rsidP="008C5103">
      <w:pPr>
        <w:pStyle w:val="ListBullet2"/>
      </w:pPr>
      <w:r w:rsidRPr="008C5103">
        <w:t xml:space="preserve">geopolitical context of carbon markets </w:t>
      </w:r>
    </w:p>
    <w:p w:rsidR="00000000" w:rsidRPr="008C5103" w:rsidP="008C5103">
      <w:pPr>
        <w:pStyle w:val="ListBullet2"/>
      </w:pPr>
      <w:r w:rsidRPr="008C5103">
        <w:t>main participants in carbon markets, and their key objectives and participation behaviours as factors infl</w:t>
      </w:r>
      <w:r w:rsidRPr="008C5103">
        <w:t xml:space="preserve">uencing market activity </w:t>
      </w:r>
    </w:p>
    <w:p w:rsidR="00000000" w:rsidRPr="008C5103" w:rsidP="008C5103">
      <w:pPr>
        <w:pStyle w:val="ListBullet2"/>
      </w:pPr>
      <w:r w:rsidRPr="008C5103">
        <w:t xml:space="preserve">emissions unit supply and demand factors and regulated price factors influencing market activity and prices </w:t>
      </w:r>
    </w:p>
    <w:p w:rsidR="00000000" w:rsidRPr="008C5103" w:rsidP="008C5103">
      <w:pPr>
        <w:pStyle w:val="ListBullet2"/>
      </w:pPr>
      <w:r w:rsidRPr="008C5103">
        <w:t xml:space="preserve">issue of carbon units via auction, and auction types </w:t>
      </w:r>
    </w:p>
    <w:p w:rsidR="00000000" w:rsidRPr="008C5103" w:rsidP="008C5103">
      <w:pPr>
        <w:pStyle w:val="ListBullet2"/>
      </w:pPr>
      <w:r w:rsidRPr="008C5103">
        <w:t>types of transactions in carbon markets, including transactions rela</w:t>
      </w:r>
      <w:r w:rsidRPr="008C5103">
        <w:t xml:space="preserve">ting to the carbon pricing mechanism and in voluntary markets, and the function of financial markets facilitating such trading including internationally </w:t>
      </w:r>
    </w:p>
    <w:p w:rsidR="00000000" w:rsidRPr="008C5103" w:rsidP="008C5103">
      <w:pPr>
        <w:pStyle w:val="ListBullet2"/>
      </w:pPr>
      <w:r w:rsidRPr="008C5103">
        <w:t xml:space="preserve">potential trading strategies and their implementation in carbon markets including hedging and investment strategies </w:t>
      </w:r>
    </w:p>
    <w:p w:rsidR="00000000" w:rsidRPr="008C5103" w:rsidP="008C5103">
      <w:pPr>
        <w:pStyle w:val="ListBullet2"/>
      </w:pPr>
      <w:r w:rsidRPr="008C5103">
        <w:t xml:space="preserve">risks associated with carbon markets including liquidity, pricing, credit, operational and regulatory risks </w:t>
      </w:r>
    </w:p>
    <w:p w:rsidR="00000000" w:rsidRPr="008C5103" w:rsidP="008C5103">
      <w:pPr>
        <w:pStyle w:val="ListBullet2"/>
      </w:pPr>
      <w:r w:rsidRPr="008C5103">
        <w:t>carbon market transaction docu</w:t>
      </w:r>
      <w:r w:rsidRPr="008C5103">
        <w:t xml:space="preserve">mentation including documentation used for different types of counterparties and transactions, their key terms and conditions, and advantages and disadvantages </w:t>
      </w:r>
    </w:p>
    <w:p w:rsidR="00000000" w:rsidRPr="008C5103" w:rsidP="008C5103">
      <w:pPr>
        <w:pStyle w:val="ListBullet"/>
      </w:pPr>
      <w:r w:rsidRPr="008C5103">
        <w:t>discuss the legal environment including disclosure and compliance covering:</w:t>
      </w:r>
    </w:p>
    <w:p w:rsidR="00000000" w:rsidRPr="008C5103" w:rsidP="008C5103">
      <w:pPr>
        <w:pStyle w:val="ListBullet2"/>
      </w:pPr>
      <w:r w:rsidRPr="008C5103">
        <w:t>domestic regulato</w:t>
      </w:r>
      <w:r w:rsidRPr="008C5103">
        <w:t xml:space="preserve">ry framework for the carbon pricing mechanism, including the role of the Clean Energy Regulator and the Australian National Registry of Emissions Units </w:t>
      </w:r>
    </w:p>
    <w:p w:rsidR="00000000" w:rsidRPr="008C5103" w:rsidP="008C5103">
      <w:pPr>
        <w:pStyle w:val="ListBullet2"/>
      </w:pPr>
      <w:r w:rsidRPr="008C5103">
        <w:t>domestic regulatory framework for the Carbon Farming Initiative, including the role of the Clean Energy</w:t>
      </w:r>
      <w:r w:rsidRPr="008C5103">
        <w:t xml:space="preserve"> Regulator and the Australian National Registry of Emissions Units </w:t>
      </w:r>
    </w:p>
    <w:p w:rsidR="00000000" w:rsidRPr="008C5103" w:rsidP="008C5103">
      <w:pPr>
        <w:pStyle w:val="ListBullet2"/>
      </w:pPr>
      <w:r w:rsidRPr="008C5103">
        <w:t xml:space="preserve">international regulatory framework for carbon trading, including the Clean Development Mechanism </w:t>
      </w:r>
    </w:p>
    <w:p w:rsidR="00000000" w:rsidRPr="008C5103" w:rsidP="008C5103">
      <w:pPr>
        <w:pStyle w:val="ListBullet2"/>
      </w:pPr>
      <w:r w:rsidRPr="008C5103">
        <w:t>relevant legal principles including Corporations Act, Australian Securities and Investment</w:t>
      </w:r>
      <w:r w:rsidRPr="008C5103">
        <w:t xml:space="preserve">s Commission (ASIC) Act and Privacy Amendment (Private Sector) Act </w:t>
      </w:r>
    </w:p>
    <w:p w:rsidR="00000000" w:rsidRPr="008C5103" w:rsidP="008C5103">
      <w:pPr>
        <w:pStyle w:val="ListBullet2"/>
      </w:pPr>
      <w:r w:rsidRPr="008C5103">
        <w:t>relationship between ethics and regulatory requirements (good faith, utmost good faith, full disclosure of remuneration and/or fees and any other conflicts of interest that may influence t</w:t>
      </w:r>
      <w:r w:rsidRPr="008C5103">
        <w:t xml:space="preserve">he adviser’s recommendation), and application of these requirements in professional practice </w:t>
      </w:r>
    </w:p>
    <w:p w:rsidR="00000000" w:rsidRPr="008C5103" w:rsidP="008C5103">
      <w:pPr>
        <w:pStyle w:val="ListBullet2"/>
      </w:pPr>
      <w:r w:rsidRPr="008C5103">
        <w:t>elements of the Registered Representatives Examination (where relevant)</w:t>
      </w:r>
    </w:p>
    <w:p w:rsidR="00000000" w:rsidRPr="008C5103" w:rsidP="008C5103">
      <w:pPr>
        <w:pStyle w:val="ListBullet2"/>
      </w:pPr>
      <w:r w:rsidRPr="008C5103">
        <w:t>Chi-X Australia or Australian Securities Exchange (ASX) Operating Rules (where relevant)</w:t>
      </w:r>
    </w:p>
    <w:p w:rsidR="00000000" w:rsidRPr="008C5103" w:rsidP="008C5103">
      <w:pPr>
        <w:pStyle w:val="ListBullet"/>
      </w:pPr>
      <w:r w:rsidRPr="008C5103">
        <w:t>outline taxation issues in relation to carbon emissions products and markets in which they operate, and deductibility of costs associated with regulated emissions units</w:t>
      </w:r>
    </w:p>
    <w:p w:rsidR="00000000" w:rsidRPr="008C5103" w:rsidP="008C5103">
      <w:pPr>
        <w:pStyle w:val="ListBullet"/>
      </w:pPr>
      <w:r w:rsidRPr="008C5103">
        <w:t>outline strategy development in an emissions marketplace including:</w:t>
      </w:r>
    </w:p>
    <w:p w:rsidR="00000000" w:rsidRPr="008C5103" w:rsidP="008C5103">
      <w:pPr>
        <w:pStyle w:val="ListBullet2"/>
      </w:pPr>
      <w:r w:rsidRPr="008C5103">
        <w:t>evaluation of clie</w:t>
      </w:r>
      <w:r w:rsidRPr="008C5103">
        <w:t xml:space="preserve">nt objectives against risks </w:t>
      </w:r>
    </w:p>
    <w:p w:rsidR="00000000" w:rsidRPr="008C5103" w:rsidP="008C5103">
      <w:pPr>
        <w:pStyle w:val="ListBullet2"/>
      </w:pPr>
      <w:r w:rsidRPr="008C5103">
        <w:t>concept development and evaluation</w:t>
      </w:r>
    </w:p>
    <w:p w:rsidR="00000000" w:rsidRPr="008C5103" w:rsidP="008C5103">
      <w:pPr>
        <w:pStyle w:val="ListBullet"/>
      </w:pPr>
      <w:r w:rsidRPr="008C5103">
        <w:t>explain theories of investment, portfolio management and management of investment and risk:</w:t>
      </w:r>
    </w:p>
    <w:p w:rsidR="00000000" w:rsidRPr="008C5103" w:rsidP="008C5103">
      <w:pPr>
        <w:pStyle w:val="ListBullet2"/>
      </w:pPr>
      <w:r w:rsidRPr="008C5103">
        <w:t>investment concepts and strategies</w:t>
      </w:r>
    </w:p>
    <w:p w:rsidR="00000000" w:rsidRPr="008C5103" w:rsidP="008C5103">
      <w:pPr>
        <w:pStyle w:val="ListBullet2"/>
      </w:pPr>
      <w:r w:rsidRPr="008C5103">
        <w:t>identification of types of risk</w:t>
      </w:r>
    </w:p>
    <w:p w:rsidR="00000000" w:rsidRPr="008C5103" w:rsidP="008C5103">
      <w:pPr>
        <w:pStyle w:val="ListBullet2"/>
      </w:pPr>
      <w:r w:rsidRPr="008C5103">
        <w:t>client risk profile.</w:t>
      </w:r>
    </w:p>
    <w:p w:rsidR="00000000" w:rsidRPr="008C5103" w:rsidP="008C5103">
      <w:pPr>
        <w:pStyle w:val="AllowPageBreak"/>
      </w:pPr>
    </w:p>
    <w:p w:rsidR="00000000" w:rsidRPr="008C5103" w:rsidP="008C5103">
      <w:pPr>
        <w:pStyle w:val="Heading1"/>
      </w:pPr>
      <w:bookmarkStart w:id="4" w:name="O_672021"/>
      <w:bookmarkEnd w:id="4"/>
      <w:r w:rsidRPr="008C5103">
        <w:t>Assessment Conditions</w:t>
      </w:r>
    </w:p>
    <w:p w:rsidR="00000000" w:rsidRPr="008C5103" w:rsidP="008E3655">
      <w:pPr>
        <w:pStyle w:val="BodyText"/>
      </w:pPr>
      <w:r w:rsidRPr="008C5103">
        <w:t>Assessment must be conducted in a safe environment where evidence gathered demonstrates consistent performance of typical activities experienced in the financial services and products advice field of work and include access to</w:t>
      </w:r>
      <w:r w:rsidRPr="008C5103">
        <w:t>:</w:t>
      </w:r>
    </w:p>
    <w:p w:rsidR="00000000" w:rsidRPr="008C5103" w:rsidP="008C5103">
      <w:pPr>
        <w:pStyle w:val="ListBullet"/>
      </w:pPr>
      <w:r w:rsidRPr="008C5103">
        <w:t>office equipment, technology, software and consumables</w:t>
      </w:r>
    </w:p>
    <w:p w:rsidR="00000000" w:rsidRPr="008C5103" w:rsidP="008C5103">
      <w:pPr>
        <w:pStyle w:val="ListBullet"/>
      </w:pPr>
      <w:r w:rsidRPr="008C5103">
        <w:t>carbon and regulated emissions market product information</w:t>
      </w:r>
    </w:p>
    <w:p w:rsidR="00000000" w:rsidRPr="008C5103" w:rsidP="008C5103">
      <w:pPr>
        <w:pStyle w:val="BodyText"/>
      </w:pPr>
    </w:p>
    <w:p w:rsidR="00000000" w:rsidRPr="008C5103" w:rsidP="008E3655">
      <w:pPr>
        <w:pStyle w:val="BodyText"/>
      </w:pPr>
      <w:r w:rsidRPr="008C5103">
        <w:t xml:space="preserve">Assessors must satisfy NVR/AQTF assessor requirements. </w:t>
      </w:r>
    </w:p>
    <w:p w:rsidR="00000000" w:rsidRPr="008C5103" w:rsidP="008C5103">
      <w:pPr>
        <w:pStyle w:val="Heading1"/>
      </w:pPr>
      <w:bookmarkStart w:id="5" w:name="O_672024"/>
      <w:bookmarkEnd w:id="5"/>
      <w:r w:rsidRPr="008C5103">
        <w:t>Links</w:t>
      </w:r>
    </w:p>
    <w:p w:rsidR="00000000" w:rsidRPr="008C5103" w:rsidP="008E3655">
      <w:pPr>
        <w:pStyle w:val="BodyText"/>
      </w:pPr>
      <w:r w:rsidRPr="008C5103">
        <w:t>Companion Volume implementation guides are found in VETNet -</w:t>
      </w:r>
      <w:r w:rsidRPr="008C5103">
        <w:t xml:space="preserve">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01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5103" w:rsidP="008C5103"/>
    <w:sectPr w:rsidSect="008C51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03" w:rsidRPr="008E3655" w:rsidP="008E3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55" w:rsidP="008C51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655" w:rsidP="008C51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3655" w:rsidP="008C51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103" w:rsidRPr="008E3655" w:rsidP="008E3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55" w:rsidRPr="002D2AF8" w:rsidP="008C51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FNSASICL503 Provide advice in the regulated emissions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8E3655" w:rsidP="008C51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F00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3C2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C1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1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1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1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1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1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1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1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1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1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1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103"/>
  </w:style>
  <w:style w:type="character" w:customStyle="1" w:styleId="Heading1Char">
    <w:name w:val="Heading 1 Char"/>
    <w:basedOn w:val="DefaultParagraphFont"/>
    <w:link w:val="Heading1"/>
    <w:rsid w:val="008C51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1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1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1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103"/>
    <w:rPr>
      <w:b/>
      <w:spacing w:val="0"/>
    </w:rPr>
  </w:style>
  <w:style w:type="paragraph" w:styleId="ListBullet2">
    <w:name w:val="List Bullet 2"/>
    <w:basedOn w:val="List2"/>
    <w:rsid w:val="008C51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1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1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1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1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1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1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1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1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1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1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1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1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1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1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1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1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1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1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1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1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1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1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1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1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1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1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1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1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1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1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103"/>
    <w:rPr>
      <w:i/>
    </w:rPr>
  </w:style>
  <w:style w:type="paragraph" w:styleId="Caption">
    <w:name w:val="caption"/>
    <w:basedOn w:val="BodyText"/>
    <w:next w:val="Normal"/>
    <w:qFormat/>
    <w:rsid w:val="008C51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1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1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103"/>
  </w:style>
  <w:style w:type="paragraph" w:styleId="TableofFigures">
    <w:name w:val="table of figures"/>
    <w:basedOn w:val="Normal"/>
    <w:next w:val="Normal"/>
    <w:semiHidden/>
    <w:rsid w:val="008C51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1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103"/>
    <w:rPr>
      <w:rFonts w:ascii="Wingdings" w:hAnsi="Wingdings"/>
    </w:rPr>
  </w:style>
  <w:style w:type="paragraph" w:customStyle="1" w:styleId="TableHeading">
    <w:name w:val="Table Heading"/>
    <w:basedOn w:val="HeadingBase"/>
    <w:rsid w:val="008C51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103"/>
    <w:rPr>
      <w:color w:val="0033CC"/>
      <w:u w:val="none"/>
    </w:rPr>
  </w:style>
  <w:style w:type="paragraph" w:customStyle="1" w:styleId="BodyTextRight">
    <w:name w:val="Body Text Right"/>
    <w:basedOn w:val="BodyText"/>
    <w:rsid w:val="008C51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1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1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1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1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1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103"/>
    <w:rPr>
      <w:sz w:val="32"/>
    </w:rPr>
  </w:style>
  <w:style w:type="paragraph" w:customStyle="1" w:styleId="HeadingProcedure">
    <w:name w:val="Heading Procedure"/>
    <w:basedOn w:val="HeadingBase"/>
    <w:next w:val="Normal"/>
    <w:rsid w:val="008C51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103"/>
    <w:pPr>
      <w:spacing w:before="60" w:after="60"/>
    </w:pPr>
  </w:style>
  <w:style w:type="paragraph" w:styleId="ListContinue">
    <w:name w:val="List Continue"/>
    <w:basedOn w:val="List"/>
    <w:rsid w:val="008C5103"/>
    <w:pPr>
      <w:ind w:firstLine="0"/>
    </w:pPr>
  </w:style>
  <w:style w:type="paragraph" w:customStyle="1" w:styleId="ListNote">
    <w:name w:val="List Note"/>
    <w:basedOn w:val="List"/>
    <w:rsid w:val="008C51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1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1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103"/>
    <w:rPr>
      <w:rFonts w:ascii="Courier New" w:hAnsi="Courier New"/>
    </w:rPr>
  </w:style>
  <w:style w:type="paragraph" w:customStyle="1" w:styleId="NoteBullet">
    <w:name w:val="Note Bullet"/>
    <w:basedOn w:val="Note"/>
    <w:rsid w:val="008C51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1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1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1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1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1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1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103"/>
    <w:rPr>
      <w:b/>
      <w:smallCaps/>
    </w:rPr>
  </w:style>
  <w:style w:type="paragraph" w:customStyle="1" w:styleId="TableListNumber">
    <w:name w:val="Table List Number"/>
    <w:basedOn w:val="ListNumber"/>
    <w:rsid w:val="008C51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1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103"/>
    <w:pPr>
      <w:numPr>
        <w:numId w:val="9"/>
      </w:numPr>
    </w:pPr>
  </w:style>
  <w:style w:type="paragraph" w:customStyle="1" w:styleId="ListAlpha2">
    <w:name w:val="List Alpha 2"/>
    <w:basedOn w:val="List2"/>
    <w:rsid w:val="008C5103"/>
    <w:pPr>
      <w:numPr>
        <w:numId w:val="8"/>
      </w:numPr>
    </w:pPr>
  </w:style>
  <w:style w:type="paragraph" w:styleId="List2">
    <w:name w:val="List 2"/>
    <w:basedOn w:val="BodyText"/>
    <w:rsid w:val="008C51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1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1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1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1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1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103"/>
    <w:pPr>
      <w:numPr>
        <w:numId w:val="4"/>
      </w:numPr>
    </w:pPr>
  </w:style>
  <w:style w:type="paragraph" w:styleId="ListContinue2">
    <w:name w:val="List Continue 2"/>
    <w:basedOn w:val="List2"/>
    <w:rsid w:val="008C5103"/>
    <w:pPr>
      <w:ind w:firstLine="0"/>
    </w:pPr>
  </w:style>
  <w:style w:type="paragraph" w:styleId="ListContinue3">
    <w:name w:val="List Continue 3"/>
    <w:basedOn w:val="List3"/>
    <w:rsid w:val="008C5103"/>
    <w:pPr>
      <w:ind w:left="1021" w:firstLine="0"/>
    </w:pPr>
  </w:style>
  <w:style w:type="paragraph" w:styleId="ListContinue4">
    <w:name w:val="List Continue 4"/>
    <w:basedOn w:val="List4"/>
    <w:rsid w:val="008C5103"/>
    <w:pPr>
      <w:ind w:firstLine="0"/>
    </w:pPr>
  </w:style>
  <w:style w:type="paragraph" w:styleId="ListContinue5">
    <w:name w:val="List Continue 5"/>
    <w:basedOn w:val="List5"/>
    <w:rsid w:val="008C5103"/>
    <w:pPr>
      <w:ind w:firstLine="0"/>
    </w:pPr>
  </w:style>
  <w:style w:type="paragraph" w:styleId="ListNumber3">
    <w:name w:val="List Number 3"/>
    <w:basedOn w:val="List3"/>
    <w:rsid w:val="008C5103"/>
    <w:pPr>
      <w:numPr>
        <w:numId w:val="5"/>
      </w:numPr>
    </w:pPr>
  </w:style>
  <w:style w:type="paragraph" w:styleId="ListNumber4">
    <w:name w:val="List Number 4"/>
    <w:basedOn w:val="List4"/>
    <w:rsid w:val="008C5103"/>
    <w:pPr>
      <w:numPr>
        <w:numId w:val="6"/>
      </w:numPr>
    </w:pPr>
  </w:style>
  <w:style w:type="paragraph" w:styleId="ListNumber5">
    <w:name w:val="List Number 5"/>
    <w:basedOn w:val="List5"/>
    <w:rsid w:val="008C5103"/>
    <w:pPr>
      <w:numPr>
        <w:numId w:val="7"/>
      </w:numPr>
    </w:pPr>
  </w:style>
  <w:style w:type="paragraph" w:styleId="BlockText">
    <w:name w:val="Block Text"/>
    <w:basedOn w:val="Normal"/>
    <w:rsid w:val="008C51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1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103"/>
    <w:rPr>
      <w:sz w:val="16"/>
      <w:vertAlign w:val="superscript"/>
    </w:rPr>
  </w:style>
  <w:style w:type="character" w:customStyle="1" w:styleId="Symbols">
    <w:name w:val="Symbols"/>
    <w:basedOn w:val="DefaultParagraphFont"/>
    <w:rsid w:val="008C5103"/>
    <w:rPr>
      <w:rFonts w:ascii="Symbol" w:hAnsi="Symbol"/>
    </w:rPr>
  </w:style>
  <w:style w:type="character" w:customStyle="1" w:styleId="MenuOptions">
    <w:name w:val="Menu Options"/>
    <w:basedOn w:val="DefaultParagraphFont"/>
    <w:rsid w:val="008C51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103"/>
    <w:rPr>
      <w:b/>
    </w:rPr>
  </w:style>
  <w:style w:type="character" w:customStyle="1" w:styleId="Underlined">
    <w:name w:val="Underlined"/>
    <w:basedOn w:val="DefaultParagraphFont"/>
    <w:rsid w:val="008C5103"/>
    <w:rPr>
      <w:u w:val="single"/>
    </w:rPr>
  </w:style>
  <w:style w:type="paragraph" w:customStyle="1" w:styleId="TableBodyTextRight">
    <w:name w:val="Table Body Text Right"/>
    <w:basedOn w:val="TableBodyText"/>
    <w:rsid w:val="008C51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103"/>
    <w:rPr>
      <w:sz w:val="18"/>
    </w:rPr>
  </w:style>
  <w:style w:type="paragraph" w:customStyle="1" w:styleId="BodySmallRight">
    <w:name w:val="Body Small Right"/>
    <w:basedOn w:val="BodyTextRight"/>
    <w:rsid w:val="008C5103"/>
    <w:rPr>
      <w:sz w:val="18"/>
      <w:szCs w:val="18"/>
    </w:rPr>
  </w:style>
  <w:style w:type="paragraph" w:customStyle="1" w:styleId="MarginEdition">
    <w:name w:val="Margin Edition"/>
    <w:basedOn w:val="MarginNote"/>
    <w:rsid w:val="008C51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103"/>
    <w:rPr>
      <w:sz w:val="2"/>
      <w:szCs w:val="2"/>
    </w:rPr>
  </w:style>
  <w:style w:type="character" w:customStyle="1" w:styleId="Small">
    <w:name w:val="Small"/>
    <w:basedOn w:val="DefaultParagraphFont"/>
    <w:rsid w:val="008C5103"/>
    <w:rPr>
      <w:sz w:val="16"/>
    </w:rPr>
  </w:style>
  <w:style w:type="paragraph" w:customStyle="1" w:styleId="WideTable">
    <w:name w:val="Wide Table"/>
    <w:basedOn w:val="Normal"/>
    <w:rsid w:val="008C51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103"/>
  </w:style>
  <w:style w:type="paragraph" w:styleId="Quote">
    <w:name w:val="Quote"/>
    <w:basedOn w:val="Heading1"/>
    <w:link w:val="QuoteChar"/>
    <w:qFormat/>
    <w:rsid w:val="008C51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1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103"/>
    <w:pPr>
      <w:pageBreakBefore/>
    </w:pPr>
  </w:style>
  <w:style w:type="paragraph" w:customStyle="1" w:styleId="Border">
    <w:name w:val="Border"/>
    <w:basedOn w:val="Normal"/>
    <w:qFormat/>
    <w:rsid w:val="008C51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1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1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1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1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1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1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1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1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103"/>
    <w:rPr>
      <w:u w:val="single"/>
    </w:rPr>
  </w:style>
  <w:style w:type="character" w:customStyle="1" w:styleId="BoldandItalics">
    <w:name w:val="Bold and Italics"/>
    <w:qFormat/>
    <w:rsid w:val="008C5103"/>
    <w:rPr>
      <w:b/>
      <w:i/>
      <w:u w:val="none"/>
    </w:rPr>
  </w:style>
  <w:style w:type="paragraph" w:styleId="BalloonText">
    <w:name w:val="Balloon Text"/>
    <w:basedOn w:val="Normal"/>
    <w:link w:val="BalloonTextChar"/>
    <w:rsid w:val="008C5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1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1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1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1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1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103"/>
    <w:pPr>
      <w:spacing w:before="0" w:after="0"/>
    </w:pPr>
  </w:style>
  <w:style w:type="paragraph" w:customStyle="1" w:styleId="BodyTextBold">
    <w:name w:val="Body Text Bold"/>
    <w:basedOn w:val="BodyText"/>
    <w:qFormat/>
    <w:rsid w:val="008C5103"/>
    <w:rPr>
      <w:b/>
    </w:rPr>
  </w:style>
  <w:style w:type="character" w:styleId="Hyperlink">
    <w:name w:val="Hyperlink"/>
    <w:basedOn w:val="DefaultParagraphFont"/>
    <w:uiPriority w:val="99"/>
    <w:unhideWhenUsed/>
    <w:rsid w:val="008E3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5584</Characters>
  <Application>Microsoft Office Word</Application>
  <DocSecurity>0</DocSecurity>
  <Lines>132</Lines>
  <Paragraphs>90</Paragraphs>
  <ScaleCrop>false</ScaleCrop>
  <Company>Author-it Software Corporation Ltd.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FNSASICL503 Provide advice in the regulated emissions market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2021-02-02T05:17:00Z</dcterms:created>
  <dcterms:modified xsi:type="dcterms:W3CDTF">2021-02-02T05:17:00Z</dcterms:modified>
</cp:coreProperties>
</file>