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17D" w:rsidP="00276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FNSASIC314 Provide Tier 2 general advice in general insurance</w:t>
      </w:r>
      <w:r>
        <w:fldChar w:fldCharType="end"/>
      </w:r>
    </w:p>
    <w:p w:rsidR="0027617D" w:rsidP="0027617D">
      <w:pPr>
        <w:pStyle w:val="Version"/>
        <w:sectPr w:rsidSect="00B125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580" w:rsidP="00B12580">
      <w:pPr>
        <w:pStyle w:val="SuperHeading"/>
      </w:pPr>
      <w:r w:rsidRPr="00B12580">
        <w:t>Assessment Requirements for FNSASIC314 Provide Tier 2 general advice in general insurance</w:t>
      </w:r>
    </w:p>
    <w:p w:rsidR="00000000" w:rsidRPr="00B12580" w:rsidP="00B12580">
      <w:pPr>
        <w:pStyle w:val="Heading1"/>
      </w:pPr>
      <w:bookmarkStart w:id="1" w:name="O_1132827"/>
      <w:bookmarkEnd w:id="1"/>
      <w:r w:rsidRPr="00B125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2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80" w:rsidP="00B12580">
            <w:pPr>
              <w:pStyle w:val="BodyText"/>
            </w:pPr>
            <w:r w:rsidRPr="00B1258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80">
            <w:pPr>
              <w:pStyle w:val="BodyText"/>
              <w:rPr>
                <w:lang w:val="en-NZ"/>
              </w:rPr>
            </w:pPr>
            <w:r w:rsidRPr="00B12580">
              <w:rPr>
                <w:rStyle w:val="SpecialBold"/>
              </w:rPr>
              <w:t>Comments</w:t>
            </w:r>
          </w:p>
        </w:tc>
      </w:tr>
      <w:tr w:rsidTr="00B125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580">
            <w:pPr>
              <w:pStyle w:val="BodyText"/>
              <w:rPr>
                <w:lang w:val="en-NZ"/>
              </w:rPr>
            </w:pPr>
            <w:r w:rsidRPr="00B1258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580" w:rsidP="00B12580">
            <w:pPr>
              <w:pStyle w:val="BodyText"/>
            </w:pPr>
            <w:r w:rsidRPr="00B12580">
              <w:t>This version first released with FNS Financial Services Training Package Version 5.0.</w:t>
            </w:r>
          </w:p>
        </w:tc>
      </w:tr>
    </w:tbl>
    <w:p w:rsidR="00000000" w:rsidRPr="00B12580" w:rsidP="00B12580">
      <w:pPr>
        <w:pStyle w:val="BodyText"/>
      </w:pPr>
    </w:p>
    <w:p w:rsidR="00000000" w:rsidRPr="00B12580" w:rsidP="00B12580">
      <w:pPr>
        <w:pStyle w:val="AllowPageBreak"/>
      </w:pPr>
    </w:p>
    <w:p w:rsidR="00000000" w:rsidRPr="00B12580" w:rsidP="00B12580">
      <w:pPr>
        <w:pStyle w:val="Heading1"/>
      </w:pPr>
      <w:bookmarkStart w:id="2" w:name="O_1132830"/>
      <w:bookmarkEnd w:id="2"/>
      <w:r w:rsidRPr="00B12580">
        <w:t>Performance Evidence</w:t>
      </w:r>
    </w:p>
    <w:p w:rsidR="00000000" w:rsidRPr="00B12580" w:rsidP="0027617D">
      <w:pPr>
        <w:pStyle w:val="BodyText"/>
      </w:pPr>
      <w:r w:rsidRPr="00B12580">
        <w:t>The candidate must demonstrate the ability to complete the tasks outlined in the elements, performance criteria and foundation skills of this unit, including evidence of the ability to:</w:t>
      </w:r>
    </w:p>
    <w:p w:rsidR="00000000" w:rsidRPr="00B12580" w:rsidP="00B12580">
      <w:pPr>
        <w:pStyle w:val="ListBullet"/>
      </w:pPr>
      <w:r w:rsidRPr="00B12580">
        <w:t>respond to client enquiries and prepare</w:t>
      </w:r>
      <w:r w:rsidRPr="00B12580">
        <w:t xml:space="preserve"> relevant Tier 2 general advice with respect to different retail insurance products and for at least two different clients.</w:t>
      </w:r>
    </w:p>
    <w:p w:rsidR="00000000" w:rsidRPr="00B12580" w:rsidP="00B12580">
      <w:pPr>
        <w:pStyle w:val="AllowPageBreak"/>
      </w:pPr>
    </w:p>
    <w:p w:rsidR="00000000" w:rsidRPr="00B12580" w:rsidP="00B12580">
      <w:pPr>
        <w:pStyle w:val="Heading1"/>
      </w:pPr>
      <w:bookmarkStart w:id="3" w:name="O_1132829"/>
      <w:bookmarkEnd w:id="3"/>
      <w:r w:rsidRPr="00B12580">
        <w:t>Knowledge Evidence</w:t>
      </w:r>
    </w:p>
    <w:p w:rsidR="00000000" w:rsidRPr="00B12580" w:rsidP="0027617D">
      <w:pPr>
        <w:pStyle w:val="BodyText"/>
      </w:pPr>
      <w:r w:rsidRPr="00B12580">
        <w:t>The candidate must be able to demonstrate knowledge to complete the tasks outlined in the elem</w:t>
      </w:r>
      <w:r w:rsidRPr="00B12580">
        <w:t>ents, performance criteria and foundation skills of this unit, including knowledge of:</w:t>
      </w:r>
    </w:p>
    <w:p w:rsidR="00000000" w:rsidRPr="00B12580" w:rsidP="00B12580">
      <w:pPr>
        <w:pStyle w:val="ListBullet"/>
      </w:pPr>
      <w:r w:rsidRPr="00B12580">
        <w:t>legislative and organisational compliance requirements in relation to advice, including:</w:t>
      </w:r>
    </w:p>
    <w:p w:rsidR="00000000" w:rsidRPr="00B12580" w:rsidP="00B12580">
      <w:pPr>
        <w:pStyle w:val="ListBullet2"/>
      </w:pPr>
      <w:r w:rsidRPr="00B12580">
        <w:t>legislation affecting the provision of general and personal advice, including relevant regulatory guidelines on conduct and disclosure</w:t>
      </w:r>
    </w:p>
    <w:p w:rsidR="00000000" w:rsidRPr="00B12580" w:rsidP="00B12580">
      <w:pPr>
        <w:pStyle w:val="ListBullet2"/>
      </w:pPr>
      <w:r w:rsidRPr="00B12580">
        <w:t>roles and responsibilities of different advisers within the organisation</w:t>
      </w:r>
    </w:p>
    <w:p w:rsidR="00000000" w:rsidRPr="00B12580" w:rsidP="00B12580">
      <w:pPr>
        <w:pStyle w:val="ListBullet2"/>
      </w:pPr>
      <w:r w:rsidRPr="00B12580">
        <w:t xml:space="preserve">organisational policies and guidelines relating </w:t>
      </w:r>
      <w:r w:rsidRPr="00B12580">
        <w:t>to provision of general advice</w:t>
      </w:r>
    </w:p>
    <w:p w:rsidR="00000000" w:rsidRPr="00B12580" w:rsidP="00B12580">
      <w:pPr>
        <w:pStyle w:val="ListBullet"/>
      </w:pPr>
      <w:r w:rsidRPr="00B12580">
        <w:t>legal environment, including disclosure and compliance covering:</w:t>
      </w:r>
    </w:p>
    <w:p w:rsidR="00000000" w:rsidRPr="00B12580" w:rsidP="00B12580">
      <w:pPr>
        <w:pStyle w:val="ListBullet2"/>
      </w:pPr>
      <w:r w:rsidRPr="00B12580">
        <w:t>role of broker, representative and/or adviser and applicable fiduciary duty obligations and range of services provided</w:t>
      </w:r>
    </w:p>
    <w:p w:rsidR="00000000" w:rsidRPr="00B12580" w:rsidP="00B12580">
      <w:pPr>
        <w:pStyle w:val="ListBullet2"/>
      </w:pPr>
      <w:r w:rsidRPr="00B12580">
        <w:t>legal principles relating to the Corpor</w:t>
      </w:r>
      <w:r w:rsidRPr="00B12580">
        <w:t>ations Act, Financial Services Reform Act (FSRA), Competition and Consumer Act, Insurance Contracts Act, and Australian Services and Investment Commission (ASIC) Act</w:t>
      </w:r>
    </w:p>
    <w:p w:rsidR="00000000" w:rsidRPr="00B12580" w:rsidP="00B12580">
      <w:pPr>
        <w:pStyle w:val="ListBullet2"/>
      </w:pPr>
      <w:r w:rsidRPr="00B12580">
        <w:t>relationship between ethics and regulatory requirements, including good faith, faith and u</w:t>
      </w:r>
      <w:r w:rsidRPr="00B12580">
        <w:t>tmost good faith</w:t>
      </w:r>
    </w:p>
    <w:p w:rsidR="00000000" w:rsidRPr="00B12580" w:rsidP="00B12580">
      <w:pPr>
        <w:pStyle w:val="ListBullet2"/>
      </w:pPr>
      <w:r w:rsidRPr="00B12580">
        <w:t>details of relevant marketing and disclosure documents, including product disclosure statements and marketing brochures on relevant products</w:t>
      </w:r>
    </w:p>
    <w:p w:rsidR="00000000" w:rsidRPr="00B12580" w:rsidP="00B12580">
      <w:pPr>
        <w:pStyle w:val="ListBullet2"/>
      </w:pPr>
      <w:r w:rsidRPr="00B12580">
        <w:t>full disclosure of remuneration and fees and any other conflicts of interest that may influence ad</w:t>
      </w:r>
      <w:r w:rsidRPr="00B12580">
        <w:t>viser’s recommendation</w:t>
      </w:r>
    </w:p>
    <w:p w:rsidR="00000000" w:rsidRPr="00B12580" w:rsidP="00B12580">
      <w:pPr>
        <w:pStyle w:val="ListBullet2"/>
      </w:pPr>
      <w:r w:rsidRPr="00B12580">
        <w:t>relevant insurance industry codes of practice and organisational codes of conduct</w:t>
      </w:r>
    </w:p>
    <w:p w:rsidR="00000000" w:rsidRPr="00B12580" w:rsidP="00B12580">
      <w:pPr>
        <w:pStyle w:val="ListBullet2"/>
      </w:pPr>
      <w:r w:rsidRPr="00B12580">
        <w:t>internal and external complaints resolution procedures</w:t>
      </w:r>
    </w:p>
    <w:p w:rsidR="00000000" w:rsidRPr="00B12580" w:rsidP="00B12580">
      <w:pPr>
        <w:pStyle w:val="ListBullet2"/>
      </w:pPr>
      <w:r w:rsidRPr="00B12580">
        <w:t>ASIC guidelines on adviser conduct and training</w:t>
      </w:r>
    </w:p>
    <w:p w:rsidR="00000000" w:rsidRPr="00B12580" w:rsidP="00B12580">
      <w:pPr>
        <w:pStyle w:val="ListBullet"/>
      </w:pPr>
      <w:r w:rsidRPr="00B12580">
        <w:t>insurance products and services delivered by th</w:t>
      </w:r>
      <w:r w:rsidRPr="00B12580">
        <w:t>e organisation, including:</w:t>
      </w:r>
    </w:p>
    <w:p w:rsidR="00000000" w:rsidRPr="00B12580" w:rsidP="00B12580">
      <w:pPr>
        <w:pStyle w:val="ListBullet2"/>
      </w:pPr>
      <w:r w:rsidRPr="00B12580">
        <w:t>purpose of products and services</w:t>
      </w:r>
    </w:p>
    <w:p w:rsidR="00000000" w:rsidRPr="00B12580" w:rsidP="00B12580">
      <w:pPr>
        <w:pStyle w:val="ListBullet2"/>
      </w:pPr>
      <w:r w:rsidRPr="00B12580">
        <w:t>conditions, exclusions and level of coverage of risk transfer products</w:t>
      </w:r>
    </w:p>
    <w:p w:rsidR="00000000" w:rsidRPr="00B12580" w:rsidP="00B12580">
      <w:pPr>
        <w:pStyle w:val="ListBullet2"/>
      </w:pPr>
      <w:r w:rsidRPr="00B12580">
        <w:t>insurance product options available</w:t>
      </w:r>
    </w:p>
    <w:p w:rsidR="00000000" w:rsidRPr="00B12580" w:rsidP="00B12580">
      <w:pPr>
        <w:pStyle w:val="ListBullet"/>
      </w:pPr>
      <w:r w:rsidRPr="00B12580">
        <w:t>taxation issues relating to insurance products</w:t>
      </w:r>
    </w:p>
    <w:p w:rsidR="00000000" w:rsidRPr="00B12580" w:rsidP="00B12580">
      <w:pPr>
        <w:pStyle w:val="ListBullet"/>
      </w:pPr>
      <w:r w:rsidRPr="00B12580">
        <w:t xml:space="preserve">required content of disclosure statements, including content that: </w:t>
      </w:r>
    </w:p>
    <w:p w:rsidR="00000000" w:rsidRPr="00B12580" w:rsidP="00B12580">
      <w:pPr>
        <w:pStyle w:val="ListBullet2"/>
      </w:pPr>
      <w:r w:rsidRPr="00B12580">
        <w:t>complies with requirements of current regulations and organisational policies and procedures</w:t>
      </w:r>
    </w:p>
    <w:p w:rsidR="00000000" w:rsidRPr="00B12580" w:rsidP="00B12580">
      <w:pPr>
        <w:pStyle w:val="ListBullet2"/>
      </w:pPr>
      <w:r w:rsidRPr="00B12580">
        <w:t>includes key aspects of recommendations, including possible risks.</w:t>
      </w:r>
    </w:p>
    <w:p w:rsidR="00000000" w:rsidRPr="00B12580" w:rsidP="00B12580">
      <w:pPr>
        <w:pStyle w:val="AllowPageBreak"/>
      </w:pPr>
    </w:p>
    <w:p w:rsidR="00000000" w:rsidRPr="00B12580" w:rsidP="00B12580">
      <w:pPr>
        <w:pStyle w:val="Heading1"/>
      </w:pPr>
      <w:bookmarkStart w:id="4" w:name="O_1132828"/>
      <w:bookmarkEnd w:id="4"/>
      <w:r w:rsidRPr="00B12580">
        <w:t>Assessme</w:t>
      </w:r>
      <w:r w:rsidRPr="00B12580">
        <w:t>nt Conditions</w:t>
      </w:r>
    </w:p>
    <w:p w:rsidR="00000000" w:rsidRPr="00B12580" w:rsidP="0027617D">
      <w:pPr>
        <w:pStyle w:val="BodyText"/>
      </w:pPr>
      <w:r w:rsidRPr="00B12580">
        <w:t>Skills in this unit must be demonstrated in a workplace or simulated environment where the conditions are typical of those in a working environment in this industry.</w:t>
      </w:r>
    </w:p>
    <w:p w:rsidR="00000000" w:rsidRPr="00B12580" w:rsidP="0027617D">
      <w:pPr>
        <w:pStyle w:val="BodyText"/>
      </w:pPr>
      <w:r w:rsidRPr="00B12580">
        <w:t>This includes access to:</w:t>
      </w:r>
    </w:p>
    <w:p w:rsidR="00000000" w:rsidRPr="00B12580" w:rsidP="00B12580">
      <w:pPr>
        <w:pStyle w:val="ListBullet"/>
      </w:pPr>
      <w:r w:rsidRPr="00B12580">
        <w:t>organisational equipment, technology, software and</w:t>
      </w:r>
      <w:r w:rsidRPr="00B12580">
        <w:t xml:space="preserve"> consumables</w:t>
      </w:r>
    </w:p>
    <w:p w:rsidR="00000000" w:rsidRPr="00B12580" w:rsidP="00B12580">
      <w:pPr>
        <w:pStyle w:val="ListBullet"/>
      </w:pPr>
      <w:r w:rsidRPr="00B12580">
        <w:t>organisational records</w:t>
      </w:r>
    </w:p>
    <w:p w:rsidR="00000000" w:rsidRPr="00B12580" w:rsidP="00B12580">
      <w:pPr>
        <w:pStyle w:val="ListBullet"/>
      </w:pPr>
      <w:r w:rsidRPr="00B12580">
        <w:t>organisational policies and procedures.</w:t>
      </w:r>
    </w:p>
    <w:p w:rsidR="00000000" w:rsidRPr="00B12580" w:rsidP="00B12580">
      <w:pPr>
        <w:pStyle w:val="List"/>
      </w:pPr>
    </w:p>
    <w:p w:rsidR="00000000" w:rsidRPr="00B12580" w:rsidP="0027617D">
      <w:pPr>
        <w:pStyle w:val="BodyText"/>
      </w:pPr>
      <w:r w:rsidRPr="00B12580">
        <w:t>Assessors of this unit must satisfy the requirements for assessors in applicable vocational education and training legislation, frameworks and/or standards.</w:t>
      </w:r>
    </w:p>
    <w:p w:rsidR="00000000" w:rsidRPr="00B12580" w:rsidP="00B12580">
      <w:pPr>
        <w:pStyle w:val="Heading1"/>
      </w:pPr>
      <w:bookmarkStart w:id="5" w:name="O_1132826"/>
      <w:bookmarkEnd w:id="5"/>
      <w:r w:rsidRPr="00B12580">
        <w:t>Links</w:t>
      </w:r>
    </w:p>
    <w:p w:rsidR="00000000" w:rsidRPr="00B12580" w:rsidP="0027617D">
      <w:pPr>
        <w:pStyle w:val="BodyText"/>
      </w:pPr>
      <w:r w:rsidRPr="00B125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407E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12580" w:rsidP="00B12580"/>
    <w:sectPr w:rsidSect="00B125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80" w:rsidRPr="0027617D" w:rsidP="00276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7D" w:rsidP="00B125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617D" w:rsidP="00B125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617D" w:rsidP="00B125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580" w:rsidRPr="0027617D" w:rsidP="00276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5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17D" w:rsidRPr="002D2AF8" w:rsidP="00B125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FNSASIC314 Provide Tier 2 general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27617D" w:rsidP="00B125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188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222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D87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5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5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5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5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5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5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5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5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5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5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5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580"/>
  </w:style>
  <w:style w:type="character" w:customStyle="1" w:styleId="Heading1Char">
    <w:name w:val="Heading 1 Char"/>
    <w:basedOn w:val="DefaultParagraphFont"/>
    <w:link w:val="Heading1"/>
    <w:rsid w:val="00B125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5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5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25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25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580"/>
    <w:rPr>
      <w:b/>
      <w:spacing w:val="0"/>
    </w:rPr>
  </w:style>
  <w:style w:type="paragraph" w:styleId="ListBullet2">
    <w:name w:val="List Bullet 2"/>
    <w:basedOn w:val="List2"/>
    <w:rsid w:val="00B125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25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5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5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5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5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5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5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5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5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5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5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5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5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5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5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5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5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5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25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5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5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5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5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5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5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5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5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5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5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5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5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580"/>
    <w:rPr>
      <w:i/>
    </w:rPr>
  </w:style>
  <w:style w:type="paragraph" w:styleId="Caption">
    <w:name w:val="caption"/>
    <w:basedOn w:val="BodyText"/>
    <w:next w:val="Normal"/>
    <w:qFormat/>
    <w:rsid w:val="00B125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5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5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580"/>
  </w:style>
  <w:style w:type="paragraph" w:styleId="TableofFigures">
    <w:name w:val="table of figures"/>
    <w:basedOn w:val="Normal"/>
    <w:next w:val="Normal"/>
    <w:semiHidden/>
    <w:rsid w:val="00B125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5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2580"/>
    <w:rPr>
      <w:rFonts w:ascii="Wingdings" w:hAnsi="Wingdings"/>
    </w:rPr>
  </w:style>
  <w:style w:type="paragraph" w:customStyle="1" w:styleId="TableHeading">
    <w:name w:val="Table Heading"/>
    <w:basedOn w:val="HeadingBase"/>
    <w:rsid w:val="00B125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580"/>
    <w:rPr>
      <w:color w:val="0033CC"/>
      <w:u w:val="none"/>
    </w:rPr>
  </w:style>
  <w:style w:type="paragraph" w:customStyle="1" w:styleId="BodyTextRight">
    <w:name w:val="Body Text Right"/>
    <w:basedOn w:val="BodyText"/>
    <w:rsid w:val="00B125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5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5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5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5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5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580"/>
    <w:rPr>
      <w:sz w:val="32"/>
    </w:rPr>
  </w:style>
  <w:style w:type="paragraph" w:customStyle="1" w:styleId="HeadingProcedure">
    <w:name w:val="Heading Procedure"/>
    <w:basedOn w:val="HeadingBase"/>
    <w:next w:val="Normal"/>
    <w:rsid w:val="00B125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580"/>
    <w:pPr>
      <w:spacing w:before="60" w:after="60"/>
    </w:pPr>
  </w:style>
  <w:style w:type="paragraph" w:styleId="ListContinue">
    <w:name w:val="List Continue"/>
    <w:basedOn w:val="List"/>
    <w:rsid w:val="00B12580"/>
    <w:pPr>
      <w:ind w:firstLine="0"/>
    </w:pPr>
  </w:style>
  <w:style w:type="paragraph" w:customStyle="1" w:styleId="ListNote">
    <w:name w:val="List Note"/>
    <w:basedOn w:val="List"/>
    <w:rsid w:val="00B125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5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5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580"/>
    <w:rPr>
      <w:rFonts w:ascii="Courier New" w:hAnsi="Courier New"/>
    </w:rPr>
  </w:style>
  <w:style w:type="paragraph" w:customStyle="1" w:styleId="NoteBullet">
    <w:name w:val="Note Bullet"/>
    <w:basedOn w:val="Note"/>
    <w:rsid w:val="00B125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5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5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5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5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25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5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580"/>
    <w:rPr>
      <w:b/>
      <w:smallCaps/>
    </w:rPr>
  </w:style>
  <w:style w:type="paragraph" w:customStyle="1" w:styleId="TableListNumber">
    <w:name w:val="Table List Number"/>
    <w:basedOn w:val="ListNumber"/>
    <w:rsid w:val="00B125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5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580"/>
    <w:pPr>
      <w:numPr>
        <w:numId w:val="9"/>
      </w:numPr>
    </w:pPr>
  </w:style>
  <w:style w:type="paragraph" w:customStyle="1" w:styleId="ListAlpha2">
    <w:name w:val="List Alpha 2"/>
    <w:basedOn w:val="List2"/>
    <w:rsid w:val="00B12580"/>
    <w:pPr>
      <w:numPr>
        <w:numId w:val="8"/>
      </w:numPr>
    </w:pPr>
  </w:style>
  <w:style w:type="paragraph" w:styleId="List2">
    <w:name w:val="List 2"/>
    <w:basedOn w:val="BodyText"/>
    <w:rsid w:val="00B125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5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5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5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5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5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2580"/>
    <w:pPr>
      <w:numPr>
        <w:numId w:val="4"/>
      </w:numPr>
    </w:pPr>
  </w:style>
  <w:style w:type="paragraph" w:styleId="ListContinue2">
    <w:name w:val="List Continue 2"/>
    <w:basedOn w:val="List2"/>
    <w:rsid w:val="00B12580"/>
    <w:pPr>
      <w:ind w:firstLine="0"/>
    </w:pPr>
  </w:style>
  <w:style w:type="paragraph" w:styleId="ListContinue3">
    <w:name w:val="List Continue 3"/>
    <w:basedOn w:val="List3"/>
    <w:rsid w:val="00B12580"/>
    <w:pPr>
      <w:ind w:left="1021" w:firstLine="0"/>
    </w:pPr>
  </w:style>
  <w:style w:type="paragraph" w:styleId="ListContinue4">
    <w:name w:val="List Continue 4"/>
    <w:basedOn w:val="List4"/>
    <w:rsid w:val="00B12580"/>
    <w:pPr>
      <w:ind w:firstLine="0"/>
    </w:pPr>
  </w:style>
  <w:style w:type="paragraph" w:styleId="ListContinue5">
    <w:name w:val="List Continue 5"/>
    <w:basedOn w:val="List5"/>
    <w:rsid w:val="00B12580"/>
    <w:pPr>
      <w:ind w:firstLine="0"/>
    </w:pPr>
  </w:style>
  <w:style w:type="paragraph" w:styleId="ListNumber3">
    <w:name w:val="List Number 3"/>
    <w:basedOn w:val="List3"/>
    <w:rsid w:val="00B12580"/>
    <w:pPr>
      <w:numPr>
        <w:numId w:val="5"/>
      </w:numPr>
    </w:pPr>
  </w:style>
  <w:style w:type="paragraph" w:styleId="ListNumber4">
    <w:name w:val="List Number 4"/>
    <w:basedOn w:val="List4"/>
    <w:rsid w:val="00B12580"/>
    <w:pPr>
      <w:numPr>
        <w:numId w:val="6"/>
      </w:numPr>
    </w:pPr>
  </w:style>
  <w:style w:type="paragraph" w:styleId="ListNumber5">
    <w:name w:val="List Number 5"/>
    <w:basedOn w:val="List5"/>
    <w:rsid w:val="00B12580"/>
    <w:pPr>
      <w:numPr>
        <w:numId w:val="7"/>
      </w:numPr>
    </w:pPr>
  </w:style>
  <w:style w:type="paragraph" w:styleId="BlockText">
    <w:name w:val="Block Text"/>
    <w:basedOn w:val="Normal"/>
    <w:rsid w:val="00B125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5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580"/>
    <w:rPr>
      <w:sz w:val="16"/>
      <w:vertAlign w:val="superscript"/>
    </w:rPr>
  </w:style>
  <w:style w:type="character" w:customStyle="1" w:styleId="Symbols">
    <w:name w:val="Symbols"/>
    <w:basedOn w:val="DefaultParagraphFont"/>
    <w:rsid w:val="00B12580"/>
    <w:rPr>
      <w:rFonts w:ascii="Symbol" w:hAnsi="Symbol"/>
    </w:rPr>
  </w:style>
  <w:style w:type="character" w:customStyle="1" w:styleId="MenuOptions">
    <w:name w:val="Menu Options"/>
    <w:basedOn w:val="DefaultParagraphFont"/>
    <w:rsid w:val="00B125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580"/>
    <w:rPr>
      <w:b/>
    </w:rPr>
  </w:style>
  <w:style w:type="character" w:customStyle="1" w:styleId="Underlined">
    <w:name w:val="Underlined"/>
    <w:basedOn w:val="DefaultParagraphFont"/>
    <w:rsid w:val="00B12580"/>
    <w:rPr>
      <w:u w:val="single"/>
    </w:rPr>
  </w:style>
  <w:style w:type="paragraph" w:customStyle="1" w:styleId="TableBodyTextRight">
    <w:name w:val="Table Body Text Right"/>
    <w:basedOn w:val="TableBodyText"/>
    <w:rsid w:val="00B125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580"/>
    <w:rPr>
      <w:sz w:val="18"/>
    </w:rPr>
  </w:style>
  <w:style w:type="paragraph" w:customStyle="1" w:styleId="BodySmallRight">
    <w:name w:val="Body Small Right"/>
    <w:basedOn w:val="BodyTextRight"/>
    <w:rsid w:val="00B12580"/>
    <w:rPr>
      <w:sz w:val="18"/>
      <w:szCs w:val="18"/>
    </w:rPr>
  </w:style>
  <w:style w:type="paragraph" w:customStyle="1" w:styleId="MarginEdition">
    <w:name w:val="Margin Edition"/>
    <w:basedOn w:val="MarginNote"/>
    <w:rsid w:val="00B125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580"/>
    <w:rPr>
      <w:sz w:val="2"/>
      <w:szCs w:val="2"/>
    </w:rPr>
  </w:style>
  <w:style w:type="character" w:customStyle="1" w:styleId="Small">
    <w:name w:val="Small"/>
    <w:basedOn w:val="DefaultParagraphFont"/>
    <w:rsid w:val="00B12580"/>
    <w:rPr>
      <w:sz w:val="16"/>
    </w:rPr>
  </w:style>
  <w:style w:type="paragraph" w:customStyle="1" w:styleId="WideTable">
    <w:name w:val="Wide Table"/>
    <w:basedOn w:val="Normal"/>
    <w:rsid w:val="00B125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580"/>
  </w:style>
  <w:style w:type="paragraph" w:styleId="Quote">
    <w:name w:val="Quote"/>
    <w:basedOn w:val="Heading1"/>
    <w:link w:val="QuoteChar"/>
    <w:qFormat/>
    <w:rsid w:val="00B125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5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580"/>
    <w:pPr>
      <w:pageBreakBefore/>
    </w:pPr>
  </w:style>
  <w:style w:type="paragraph" w:customStyle="1" w:styleId="Border">
    <w:name w:val="Border"/>
    <w:basedOn w:val="Normal"/>
    <w:qFormat/>
    <w:rsid w:val="00B125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5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5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5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5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5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5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5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5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580"/>
    <w:rPr>
      <w:u w:val="single"/>
    </w:rPr>
  </w:style>
  <w:style w:type="character" w:customStyle="1" w:styleId="BoldandItalics">
    <w:name w:val="Bold and Italics"/>
    <w:qFormat/>
    <w:rsid w:val="00B12580"/>
    <w:rPr>
      <w:b/>
      <w:i/>
      <w:u w:val="none"/>
    </w:rPr>
  </w:style>
  <w:style w:type="paragraph" w:styleId="BalloonText">
    <w:name w:val="Balloon Text"/>
    <w:basedOn w:val="Normal"/>
    <w:link w:val="BalloonTextChar"/>
    <w:rsid w:val="00B125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5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5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5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5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5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580"/>
    <w:pPr>
      <w:spacing w:before="0" w:after="0"/>
    </w:pPr>
  </w:style>
  <w:style w:type="paragraph" w:customStyle="1" w:styleId="BodyTextBold">
    <w:name w:val="Body Text Bold"/>
    <w:basedOn w:val="BodyText"/>
    <w:qFormat/>
    <w:rsid w:val="00B12580"/>
    <w:rPr>
      <w:b/>
    </w:rPr>
  </w:style>
  <w:style w:type="character" w:styleId="Hyperlink">
    <w:name w:val="Hyperlink"/>
    <w:basedOn w:val="DefaultParagraphFont"/>
    <w:uiPriority w:val="99"/>
    <w:unhideWhenUsed/>
    <w:rsid w:val="00276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3074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FNSASIC314 Provide Tier 2 general advice in general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