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30B" w:rsidP="00FF0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FNSASIC312 Provide personal advice on non-relevant financial products</w:t>
      </w:r>
      <w:r>
        <w:fldChar w:fldCharType="end"/>
      </w:r>
    </w:p>
    <w:p w:rsidR="00FF030B" w:rsidP="00FF030B">
      <w:pPr>
        <w:pStyle w:val="Version"/>
        <w:sectPr w:rsidSect="00C97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A19" w:rsidP="00C97A19">
      <w:pPr>
        <w:pStyle w:val="SuperHeading"/>
      </w:pPr>
      <w:r w:rsidRPr="00C97A19">
        <w:t>Assessment Requirements for FNSASIC312 Provide personal advice on non-relevant financial products</w:t>
      </w:r>
    </w:p>
    <w:p w:rsidR="00000000" w:rsidRPr="00C97A19" w:rsidP="00C97A19">
      <w:pPr>
        <w:pStyle w:val="Heading1"/>
      </w:pPr>
      <w:bookmarkStart w:id="1" w:name="O_1235288"/>
      <w:bookmarkEnd w:id="1"/>
      <w:r w:rsidRPr="00C97A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97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A19" w:rsidP="00C97A19">
            <w:pPr>
              <w:pStyle w:val="BodyText"/>
            </w:pPr>
            <w:r w:rsidRPr="00C97A1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A19">
            <w:pPr>
              <w:pStyle w:val="BodyText"/>
              <w:rPr>
                <w:lang w:val="en-NZ"/>
              </w:rPr>
            </w:pPr>
            <w:r w:rsidRPr="00C97A19">
              <w:rPr>
                <w:rStyle w:val="SpecialBold"/>
              </w:rPr>
              <w:t>Comments</w:t>
            </w:r>
          </w:p>
        </w:tc>
      </w:tr>
      <w:tr w:rsidTr="00C97A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A19">
            <w:pPr>
              <w:pStyle w:val="BodyText"/>
              <w:rPr>
                <w:lang w:val="en-NZ"/>
              </w:rPr>
            </w:pPr>
            <w:r w:rsidRPr="00C97A1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A19" w:rsidP="00C97A19">
            <w:pPr>
              <w:pStyle w:val="BodyText"/>
            </w:pPr>
            <w:r w:rsidRPr="00C97A19">
              <w:t>This version first released with the FNS Financial Services Training Package Version 8.0.</w:t>
            </w:r>
          </w:p>
          <w:p w:rsidR="00000000" w:rsidRPr="00C97A19" w:rsidP="00C97A19">
            <w:pPr>
              <w:pStyle w:val="BodyText"/>
            </w:pPr>
            <w:r w:rsidRPr="00C97A19">
              <w:t>Supersedes and is not equivalent to FNSASIC302 Develop, present and negotiate client solutions.</w:t>
            </w:r>
          </w:p>
        </w:tc>
      </w:tr>
    </w:tbl>
    <w:p w:rsidR="00000000" w:rsidRPr="00C97A19" w:rsidP="00C97A19">
      <w:pPr>
        <w:pStyle w:val="BodyText"/>
      </w:pPr>
    </w:p>
    <w:p w:rsidR="00000000" w:rsidRPr="00C97A19" w:rsidP="00C97A19">
      <w:pPr>
        <w:pStyle w:val="AllowPageBreak"/>
      </w:pPr>
    </w:p>
    <w:p w:rsidR="00000000" w:rsidRPr="00C97A19" w:rsidP="00C97A19">
      <w:pPr>
        <w:pStyle w:val="Heading1"/>
      </w:pPr>
      <w:bookmarkStart w:id="2" w:name="O_1235289"/>
      <w:bookmarkEnd w:id="2"/>
      <w:r w:rsidRPr="00C97A19">
        <w:t>Performance Evidence</w:t>
      </w:r>
    </w:p>
    <w:p w:rsidR="00000000" w:rsidRPr="00C97A19" w:rsidP="00FF030B">
      <w:pPr>
        <w:pStyle w:val="BodyText"/>
      </w:pPr>
      <w:r w:rsidRPr="00C97A19">
        <w:t>The candidate must demonstrate the ability to complete the tasks outlined in the elements, performance criteria and f</w:t>
      </w:r>
      <w:r w:rsidRPr="00C97A19">
        <w:t>oundation skills of this unit, including evidence of the ability to:</w:t>
      </w:r>
    </w:p>
    <w:p w:rsidR="00000000" w:rsidRPr="00C97A19" w:rsidP="00C97A19">
      <w:pPr>
        <w:pStyle w:val="ListBullet"/>
      </w:pPr>
      <w:r w:rsidRPr="00C97A19">
        <w:t>provide personal advice on non-relevant financial products to at least two different clients</w:t>
      </w:r>
    </w:p>
    <w:p w:rsidR="00000000" w:rsidRPr="00C97A19" w:rsidP="00C97A19">
      <w:pPr>
        <w:pStyle w:val="ListBullet"/>
      </w:pPr>
      <w:r w:rsidRPr="00C97A19">
        <w:t>present suitable non-relevant financial products to each of the above clients and successfull</w:t>
      </w:r>
      <w:r w:rsidRPr="00C97A19">
        <w:t>y negotiate a plan, policy or transaction.</w:t>
      </w:r>
    </w:p>
    <w:p w:rsidR="00000000" w:rsidRPr="00C97A19" w:rsidP="00C97A19">
      <w:pPr>
        <w:pStyle w:val="BodyText"/>
      </w:pPr>
    </w:p>
    <w:p w:rsidR="00000000" w:rsidRPr="00C97A19" w:rsidP="00FF030B">
      <w:pPr>
        <w:pStyle w:val="BodyText"/>
      </w:pPr>
      <w:r w:rsidRPr="00C97A19">
        <w:t>In the course of the above, the candidate must:</w:t>
      </w:r>
    </w:p>
    <w:p w:rsidR="00000000" w:rsidRPr="00C97A19" w:rsidP="00C97A19">
      <w:pPr>
        <w:pStyle w:val="ListBullet"/>
      </w:pPr>
      <w:r w:rsidRPr="00C97A19">
        <w:t>comply with industry-specific legislative and regulatory requirements for non-relevant financial products</w:t>
      </w:r>
    </w:p>
    <w:p w:rsidR="00000000" w:rsidRPr="00C97A19" w:rsidP="00C97A19">
      <w:pPr>
        <w:pStyle w:val="ListBullet"/>
      </w:pPr>
      <w:r w:rsidRPr="00C97A19">
        <w:t>explain the characteristics, benefits and impacts of non-relevant financial products.</w:t>
      </w:r>
    </w:p>
    <w:p w:rsidR="00000000" w:rsidRPr="00C97A19" w:rsidP="00C97A19">
      <w:pPr>
        <w:pStyle w:val="AllowPageBreak"/>
      </w:pPr>
    </w:p>
    <w:p w:rsidR="00000000" w:rsidRPr="00C97A19" w:rsidP="00C97A19">
      <w:pPr>
        <w:pStyle w:val="Heading1"/>
      </w:pPr>
      <w:bookmarkStart w:id="3" w:name="O_1235290"/>
      <w:bookmarkEnd w:id="3"/>
      <w:r w:rsidRPr="00C97A19">
        <w:t>Knowledge Evidence</w:t>
      </w:r>
    </w:p>
    <w:p w:rsidR="00000000" w:rsidRPr="00C97A19" w:rsidP="00FF030B">
      <w:pPr>
        <w:pStyle w:val="BodyText"/>
      </w:pPr>
      <w:r w:rsidRPr="00C97A19">
        <w:t>The candidate must be able to demonstrate knowledge to complete the tasks outlined in the elements, performance criteria and foundat</w:t>
      </w:r>
      <w:r w:rsidRPr="00C97A19">
        <w:t>ion skills of this unit, including knowledge of:</w:t>
      </w:r>
    </w:p>
    <w:p w:rsidR="00000000" w:rsidRPr="00C97A19" w:rsidP="00C97A19">
      <w:pPr>
        <w:pStyle w:val="ListBullet"/>
      </w:pPr>
      <w:r w:rsidRPr="00C97A19">
        <w:t>key features of the following non-relevant financial products:</w:t>
      </w:r>
    </w:p>
    <w:p w:rsidR="00000000" w:rsidRPr="00C97A19" w:rsidP="00C97A19">
      <w:pPr>
        <w:pStyle w:val="ListBullet2"/>
      </w:pPr>
      <w:r w:rsidRPr="00C97A19">
        <w:t>general insurance</w:t>
      </w:r>
    </w:p>
    <w:p w:rsidR="00000000" w:rsidRPr="00C97A19" w:rsidP="00C97A19">
      <w:pPr>
        <w:pStyle w:val="ListBullet2"/>
      </w:pPr>
      <w:r w:rsidRPr="00C97A19">
        <w:t>deposit products</w:t>
      </w:r>
    </w:p>
    <w:p w:rsidR="00000000" w:rsidRPr="00C97A19" w:rsidP="00C97A19">
      <w:pPr>
        <w:pStyle w:val="ListBullet2"/>
      </w:pPr>
      <w:r w:rsidRPr="00C97A19">
        <w:t>non-cash payment facilities</w:t>
      </w:r>
    </w:p>
    <w:p w:rsidR="00000000" w:rsidRPr="00C97A19" w:rsidP="00C97A19">
      <w:pPr>
        <w:pStyle w:val="ListBullet"/>
      </w:pPr>
      <w:r w:rsidRPr="00C97A19">
        <w:t>key features of the legal environment, including disclosure and compliance cov</w:t>
      </w:r>
      <w:r w:rsidRPr="00C97A19">
        <w:t>ering:</w:t>
      </w:r>
    </w:p>
    <w:p w:rsidR="00000000" w:rsidRPr="00C97A19" w:rsidP="00C97A19">
      <w:pPr>
        <w:pStyle w:val="ListBullet2"/>
      </w:pPr>
      <w:r w:rsidRPr="00C97A19">
        <w:t>role of representative and adviser</w:t>
      </w:r>
    </w:p>
    <w:p w:rsidR="00000000" w:rsidRPr="00C97A19" w:rsidP="00C97A19">
      <w:pPr>
        <w:pStyle w:val="ListBullet2"/>
      </w:pPr>
      <w:r w:rsidRPr="00C97A19">
        <w:t>relevant legal principles relating to key Acts relevant to the performance evidence</w:t>
      </w:r>
    </w:p>
    <w:p w:rsidR="00000000" w:rsidRPr="00C97A19" w:rsidP="00C97A19">
      <w:pPr>
        <w:pStyle w:val="ListBullet2"/>
      </w:pPr>
      <w:r w:rsidRPr="00C97A19">
        <w:t>relationship between ethics and regulatory requirements, including good faith, utmost good faith, full disclosure of remuneration and fees, and any other conflicts of interest that may influence adviser’s recommendation</w:t>
      </w:r>
    </w:p>
    <w:p w:rsidR="00000000" w:rsidRPr="00C97A19" w:rsidP="00C97A19">
      <w:pPr>
        <w:pStyle w:val="ListBullet2"/>
      </w:pPr>
      <w:r w:rsidRPr="00C97A19">
        <w:t>Australian Securities and Investment</w:t>
      </w:r>
      <w:r w:rsidRPr="00C97A19">
        <w:t>s Commission (ASIC) regulatory guidelines and industry codes of practice and conduct relating to performance evidence</w:t>
      </w:r>
    </w:p>
    <w:p w:rsidR="00000000" w:rsidRPr="00C97A19" w:rsidP="00C97A19">
      <w:pPr>
        <w:pStyle w:val="ListBullet2"/>
      </w:pPr>
      <w:r w:rsidRPr="00C97A19">
        <w:t>Australian Financial Services licensing obligations and requirements</w:t>
      </w:r>
    </w:p>
    <w:p w:rsidR="00000000" w:rsidRPr="00C97A19" w:rsidP="00C97A19">
      <w:pPr>
        <w:pStyle w:val="ListBullet2"/>
      </w:pPr>
      <w:r w:rsidRPr="00C97A19">
        <w:t>resolution procedures for internal and external complaints.</w:t>
      </w:r>
    </w:p>
    <w:p w:rsidR="00000000" w:rsidRPr="00C97A19" w:rsidP="00C97A19">
      <w:pPr>
        <w:pStyle w:val="BodyText"/>
      </w:pPr>
    </w:p>
    <w:p w:rsidR="00000000" w:rsidRPr="00C97A19" w:rsidP="00FF030B">
      <w:pPr>
        <w:pStyle w:val="BodyText"/>
      </w:pPr>
      <w:r w:rsidRPr="00C97A19">
        <w:t>For gene</w:t>
      </w:r>
      <w:r w:rsidRPr="00C97A19">
        <w:t>ral insurance the individual must demonstrate knowledge of:</w:t>
      </w:r>
    </w:p>
    <w:p w:rsidR="00000000" w:rsidRPr="00C97A19" w:rsidP="00C97A19">
      <w:pPr>
        <w:pStyle w:val="ListBullet"/>
      </w:pPr>
      <w:r w:rsidRPr="00C97A19">
        <w:t>insurance products, and the roles and components that comprise Australian insurance markets, including:</w:t>
      </w:r>
    </w:p>
    <w:p w:rsidR="00000000" w:rsidRPr="00C97A19" w:rsidP="00C97A19">
      <w:pPr>
        <w:pStyle w:val="ListBullet2"/>
      </w:pPr>
      <w:r w:rsidRPr="00C97A19">
        <w:t>definition of an insurance product</w:t>
      </w:r>
    </w:p>
    <w:p w:rsidR="00000000" w:rsidRPr="00C97A19" w:rsidP="00C97A19">
      <w:pPr>
        <w:pStyle w:val="ListBullet2"/>
      </w:pPr>
      <w:r w:rsidRPr="00C97A19">
        <w:t>conditions, exclusions and level of coverage of risk tr</w:t>
      </w:r>
      <w:r w:rsidRPr="00C97A19">
        <w:t>ansfer products</w:t>
      </w:r>
    </w:p>
    <w:p w:rsidR="00000000" w:rsidRPr="00C97A19" w:rsidP="00C97A19">
      <w:pPr>
        <w:pStyle w:val="ListBullet2"/>
      </w:pPr>
      <w:r w:rsidRPr="00C97A19">
        <w:t>types of insurance products</w:t>
      </w:r>
    </w:p>
    <w:p w:rsidR="00000000" w:rsidRPr="00C97A19" w:rsidP="00C97A19">
      <w:pPr>
        <w:pStyle w:val="ListBullet2"/>
      </w:pPr>
      <w:r w:rsidRPr="00C97A19">
        <w:t>pricing of risk products</w:t>
      </w:r>
    </w:p>
    <w:p w:rsidR="00000000" w:rsidRPr="00C97A19" w:rsidP="00C97A19">
      <w:pPr>
        <w:pStyle w:val="ListBullet2"/>
      </w:pPr>
      <w:r w:rsidRPr="00C97A19">
        <w:t>taxation issues relating to insurance products</w:t>
      </w:r>
    </w:p>
    <w:p w:rsidR="00000000" w:rsidRPr="00C97A19" w:rsidP="00C97A19">
      <w:pPr>
        <w:pStyle w:val="ListBullet"/>
      </w:pPr>
      <w:r w:rsidRPr="00C97A19">
        <w:t>explain advisory functions, including:</w:t>
      </w:r>
    </w:p>
    <w:p w:rsidR="00000000" w:rsidRPr="00C97A19" w:rsidP="00C97A19">
      <w:pPr>
        <w:pStyle w:val="ListBullet2"/>
      </w:pPr>
      <w:r w:rsidRPr="00C97A19">
        <w:t>role of representative, broker and adviser</w:t>
      </w:r>
    </w:p>
    <w:p w:rsidR="00000000" w:rsidRPr="00C97A19" w:rsidP="00C97A19">
      <w:pPr>
        <w:pStyle w:val="ListBullet2"/>
      </w:pPr>
      <w:r w:rsidRPr="00C97A19">
        <w:t>range of services provided</w:t>
      </w:r>
    </w:p>
    <w:p w:rsidR="00000000" w:rsidRPr="00C97A19" w:rsidP="00C97A19">
      <w:pPr>
        <w:pStyle w:val="ListBullet2"/>
      </w:pPr>
      <w:r w:rsidRPr="00C97A19">
        <w:t>process of a risk assessment</w:t>
      </w:r>
    </w:p>
    <w:p w:rsidR="00000000" w:rsidRPr="00C97A19" w:rsidP="00C97A19">
      <w:pPr>
        <w:pStyle w:val="ListBullet"/>
      </w:pPr>
      <w:r w:rsidRPr="00C97A19">
        <w:t>profile and financial information of the clients described in performance evidence</w:t>
      </w:r>
    </w:p>
    <w:p w:rsidR="00000000" w:rsidRPr="00C97A19" w:rsidP="00C97A19">
      <w:pPr>
        <w:pStyle w:val="ListBullet"/>
      </w:pPr>
      <w:r w:rsidRPr="00C97A19">
        <w:t>characteristics of the general insurance products for which advice is given, including:</w:t>
      </w:r>
    </w:p>
    <w:p w:rsidR="00000000" w:rsidRPr="00C97A19" w:rsidP="00C97A19">
      <w:pPr>
        <w:pStyle w:val="ListBullet2"/>
      </w:pPr>
      <w:r w:rsidRPr="00C97A19">
        <w:t>standard cover (and deviations)</w:t>
      </w:r>
    </w:p>
    <w:p w:rsidR="00000000" w:rsidRPr="00C97A19" w:rsidP="00C97A19">
      <w:pPr>
        <w:pStyle w:val="ListBullet2"/>
      </w:pPr>
      <w:r w:rsidRPr="00C97A19">
        <w:t>policy wordings</w:t>
      </w:r>
    </w:p>
    <w:p w:rsidR="00000000" w:rsidRPr="00C97A19" w:rsidP="00C97A19">
      <w:pPr>
        <w:pStyle w:val="ListBullet2"/>
      </w:pPr>
      <w:r w:rsidRPr="00C97A19">
        <w:t>taxes and charges</w:t>
      </w:r>
    </w:p>
    <w:p w:rsidR="00000000" w:rsidRPr="00C97A19" w:rsidP="00C97A19">
      <w:pPr>
        <w:pStyle w:val="ListBullet2"/>
      </w:pPr>
      <w:r w:rsidRPr="00C97A19">
        <w:t>insurance claims</w:t>
      </w:r>
    </w:p>
    <w:p w:rsidR="00000000" w:rsidRPr="00C97A19" w:rsidP="00C97A19">
      <w:pPr>
        <w:pStyle w:val="ListBullet2"/>
      </w:pPr>
      <w:r w:rsidRPr="00C97A19">
        <w:t>premium rating and risk selection</w:t>
      </w:r>
    </w:p>
    <w:p w:rsidR="00000000" w:rsidRPr="00C97A19" w:rsidP="00C97A19">
      <w:pPr>
        <w:pStyle w:val="ListBullet2"/>
      </w:pPr>
      <w:r w:rsidRPr="00C97A19">
        <w:t>reporting</w:t>
      </w:r>
    </w:p>
    <w:p w:rsidR="00000000" w:rsidRPr="00C97A19" w:rsidP="00C97A19">
      <w:pPr>
        <w:pStyle w:val="ListBullet2"/>
      </w:pPr>
      <w:r w:rsidRPr="00C97A19">
        <w:t>product development</w:t>
      </w:r>
    </w:p>
    <w:p w:rsidR="00000000" w:rsidRPr="00C97A19" w:rsidP="00C97A19">
      <w:pPr>
        <w:pStyle w:val="ListBullet2"/>
      </w:pPr>
      <w:r w:rsidRPr="00C97A19">
        <w:t>underwriting.</w:t>
      </w:r>
    </w:p>
    <w:p w:rsidR="00000000" w:rsidRPr="00C97A19" w:rsidP="00C97A19">
      <w:pPr>
        <w:pStyle w:val="BodyText"/>
      </w:pPr>
    </w:p>
    <w:p w:rsidR="00000000" w:rsidRPr="00C97A19" w:rsidP="00FF030B">
      <w:pPr>
        <w:pStyle w:val="BodyText"/>
      </w:pPr>
      <w:r w:rsidRPr="00C97A19">
        <w:t>For deposit products and non-cash payment facilities the individual must demonstrate knowledge of:</w:t>
      </w:r>
    </w:p>
    <w:p w:rsidR="00000000" w:rsidRPr="00C97A19" w:rsidP="00C97A19">
      <w:pPr>
        <w:pStyle w:val="ListBullet"/>
      </w:pPr>
      <w:r w:rsidRPr="00C97A19">
        <w:t>types of deposit products and non-cash payment products</w:t>
      </w:r>
    </w:p>
    <w:p w:rsidR="00000000" w:rsidRPr="00C97A19" w:rsidP="00C97A19">
      <w:pPr>
        <w:pStyle w:val="ListBullet"/>
      </w:pPr>
      <w:r w:rsidRPr="00C97A19">
        <w:t>product characteristics.</w:t>
      </w:r>
    </w:p>
    <w:p w:rsidR="00000000" w:rsidRPr="00C97A19" w:rsidP="00C97A19">
      <w:pPr>
        <w:pStyle w:val="AllowPageBreak"/>
      </w:pPr>
    </w:p>
    <w:p w:rsidR="00000000" w:rsidRPr="00C97A19" w:rsidP="00C97A19">
      <w:pPr>
        <w:pStyle w:val="Heading1"/>
      </w:pPr>
      <w:bookmarkStart w:id="4" w:name="O_1235291"/>
      <w:bookmarkEnd w:id="4"/>
      <w:r w:rsidRPr="00C97A19">
        <w:t>Assessment Conditions</w:t>
      </w:r>
    </w:p>
    <w:p w:rsidR="00000000" w:rsidRPr="00C97A19" w:rsidP="00FF030B">
      <w:pPr>
        <w:pStyle w:val="BodyText"/>
      </w:pPr>
      <w:r w:rsidRPr="00C97A19">
        <w:t>Skills in this unit must be demonstrated in a workplace or simulated environment where the conditions are typical of those in a working environment in this industry.</w:t>
      </w:r>
    </w:p>
    <w:p w:rsidR="00000000" w:rsidRPr="00C97A19" w:rsidP="00FF030B">
      <w:pPr>
        <w:pStyle w:val="BodyText"/>
      </w:pPr>
      <w:r w:rsidRPr="00C97A19">
        <w:t>This includes access to:</w:t>
      </w:r>
    </w:p>
    <w:p w:rsidR="00000000" w:rsidRPr="00C97A19" w:rsidP="00C97A19">
      <w:pPr>
        <w:pStyle w:val="ListBullet"/>
      </w:pPr>
      <w:r w:rsidRPr="00C97A19">
        <w:t>office equipment, technology, software and consumables used to provide personal advice on non-relevant financial products</w:t>
      </w:r>
    </w:p>
    <w:p w:rsidR="00000000" w:rsidRPr="00C97A19" w:rsidP="00C97A19">
      <w:pPr>
        <w:pStyle w:val="ListBullet"/>
      </w:pPr>
      <w:r w:rsidRPr="00C97A19">
        <w:t>clients requiring personal advice on non-relevant financial products</w:t>
      </w:r>
    </w:p>
    <w:p w:rsidR="00000000" w:rsidRPr="00C97A19" w:rsidP="00C97A19">
      <w:pPr>
        <w:pStyle w:val="ListBullet"/>
      </w:pPr>
      <w:r w:rsidRPr="00C97A19">
        <w:t>non-relevant financial product information.</w:t>
      </w:r>
    </w:p>
    <w:p w:rsidR="00000000" w:rsidRPr="00C97A19" w:rsidP="00C97A19">
      <w:pPr>
        <w:pStyle w:val="BodyText"/>
      </w:pPr>
    </w:p>
    <w:p w:rsidR="00000000" w:rsidRPr="00C97A19" w:rsidP="00FF030B">
      <w:pPr>
        <w:pStyle w:val="BodyText"/>
      </w:pPr>
      <w:r w:rsidRPr="00C97A19">
        <w:t xml:space="preserve">Assessors of this </w:t>
      </w:r>
      <w:r w:rsidRPr="00C97A19">
        <w:t>unit must satisfy the requirements for assessors in applicable vocational education and training legislation, frameworks and/or standards.</w:t>
      </w:r>
    </w:p>
    <w:p w:rsidR="00000000" w:rsidRPr="00C97A19" w:rsidP="00C97A19">
      <w:pPr>
        <w:pStyle w:val="Heading1"/>
      </w:pPr>
      <w:bookmarkStart w:id="5" w:name="O_1235294"/>
      <w:bookmarkEnd w:id="5"/>
      <w:r w:rsidRPr="00C97A19">
        <w:t>Links</w:t>
      </w:r>
    </w:p>
    <w:p w:rsidR="00000000" w:rsidRPr="00C97A19" w:rsidP="00FF030B">
      <w:pPr>
        <w:pStyle w:val="BodyText"/>
      </w:pPr>
      <w:r w:rsidRPr="00C97A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301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97A19" w:rsidP="00C97A19"/>
    <w:sectPr w:rsidSect="00C97A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19" w:rsidRPr="00FF030B" w:rsidP="00FF0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0B" w:rsidP="00C97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30B" w:rsidP="00C97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030B" w:rsidP="00C97A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A19" w:rsidRPr="00FF030B" w:rsidP="00FF0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30B" w:rsidRPr="002D2AF8" w:rsidP="00C97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FNSASIC312 Provide personal advice on non-relevant financial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F030B" w:rsidP="00C97A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DE4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18F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EB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A19"/>
  </w:style>
  <w:style w:type="character" w:customStyle="1" w:styleId="Heading1Char">
    <w:name w:val="Heading 1 Char"/>
    <w:basedOn w:val="DefaultParagraphFont"/>
    <w:link w:val="Heading1"/>
    <w:rsid w:val="00C97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A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A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7A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7A19"/>
    <w:rPr>
      <w:b/>
      <w:spacing w:val="0"/>
    </w:rPr>
  </w:style>
  <w:style w:type="paragraph" w:styleId="ListBullet2">
    <w:name w:val="List Bullet 2"/>
    <w:basedOn w:val="List2"/>
    <w:rsid w:val="00C97A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7A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A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A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A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A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A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7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7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A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7A19"/>
    <w:rPr>
      <w:i/>
    </w:rPr>
  </w:style>
  <w:style w:type="paragraph" w:styleId="Caption">
    <w:name w:val="caption"/>
    <w:basedOn w:val="BodyText"/>
    <w:next w:val="Normal"/>
    <w:qFormat/>
    <w:rsid w:val="00C97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A19"/>
  </w:style>
  <w:style w:type="paragraph" w:styleId="TableofFigures">
    <w:name w:val="table of figures"/>
    <w:basedOn w:val="Normal"/>
    <w:next w:val="Normal"/>
    <w:semiHidden/>
    <w:rsid w:val="00C97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A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7A19"/>
    <w:rPr>
      <w:rFonts w:ascii="Wingdings" w:hAnsi="Wingdings"/>
    </w:rPr>
  </w:style>
  <w:style w:type="paragraph" w:customStyle="1" w:styleId="TableHeading">
    <w:name w:val="Table Heading"/>
    <w:basedOn w:val="HeadingBase"/>
    <w:rsid w:val="00C97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A19"/>
    <w:rPr>
      <w:color w:val="0033CC"/>
      <w:u w:val="none"/>
    </w:rPr>
  </w:style>
  <w:style w:type="paragraph" w:customStyle="1" w:styleId="BodyTextRight">
    <w:name w:val="Body Text Right"/>
    <w:basedOn w:val="BodyText"/>
    <w:rsid w:val="00C97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A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A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A19"/>
    <w:rPr>
      <w:sz w:val="32"/>
    </w:rPr>
  </w:style>
  <w:style w:type="paragraph" w:customStyle="1" w:styleId="HeadingProcedure">
    <w:name w:val="Heading Procedure"/>
    <w:basedOn w:val="HeadingBase"/>
    <w:next w:val="Normal"/>
    <w:rsid w:val="00C97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A19"/>
    <w:pPr>
      <w:spacing w:before="60" w:after="60"/>
    </w:pPr>
  </w:style>
  <w:style w:type="paragraph" w:styleId="ListContinue">
    <w:name w:val="List Continue"/>
    <w:basedOn w:val="List"/>
    <w:rsid w:val="00C97A19"/>
    <w:pPr>
      <w:ind w:firstLine="0"/>
    </w:pPr>
  </w:style>
  <w:style w:type="paragraph" w:customStyle="1" w:styleId="ListNote">
    <w:name w:val="List Note"/>
    <w:basedOn w:val="List"/>
    <w:rsid w:val="00C97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A19"/>
    <w:rPr>
      <w:rFonts w:ascii="Courier New" w:hAnsi="Courier New"/>
    </w:rPr>
  </w:style>
  <w:style w:type="paragraph" w:customStyle="1" w:styleId="NoteBullet">
    <w:name w:val="Note Bullet"/>
    <w:basedOn w:val="Note"/>
    <w:rsid w:val="00C97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A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7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A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A19"/>
    <w:rPr>
      <w:b/>
      <w:smallCaps/>
    </w:rPr>
  </w:style>
  <w:style w:type="paragraph" w:customStyle="1" w:styleId="TableListNumber">
    <w:name w:val="Table List Number"/>
    <w:basedOn w:val="ListNumber"/>
    <w:rsid w:val="00C97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A19"/>
    <w:pPr>
      <w:numPr>
        <w:numId w:val="9"/>
      </w:numPr>
    </w:pPr>
  </w:style>
  <w:style w:type="paragraph" w:customStyle="1" w:styleId="ListAlpha2">
    <w:name w:val="List Alpha 2"/>
    <w:basedOn w:val="List2"/>
    <w:rsid w:val="00C97A19"/>
    <w:pPr>
      <w:numPr>
        <w:numId w:val="8"/>
      </w:numPr>
    </w:pPr>
  </w:style>
  <w:style w:type="paragraph" w:styleId="List2">
    <w:name w:val="List 2"/>
    <w:basedOn w:val="BodyText"/>
    <w:rsid w:val="00C97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A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A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7A19"/>
    <w:pPr>
      <w:numPr>
        <w:numId w:val="4"/>
      </w:numPr>
    </w:pPr>
  </w:style>
  <w:style w:type="paragraph" w:styleId="ListContinue2">
    <w:name w:val="List Continue 2"/>
    <w:basedOn w:val="List2"/>
    <w:rsid w:val="00C97A19"/>
    <w:pPr>
      <w:ind w:firstLine="0"/>
    </w:pPr>
  </w:style>
  <w:style w:type="paragraph" w:styleId="ListContinue3">
    <w:name w:val="List Continue 3"/>
    <w:basedOn w:val="List3"/>
    <w:rsid w:val="00C97A19"/>
    <w:pPr>
      <w:ind w:left="1021" w:firstLine="0"/>
    </w:pPr>
  </w:style>
  <w:style w:type="paragraph" w:styleId="ListContinue4">
    <w:name w:val="List Continue 4"/>
    <w:basedOn w:val="List4"/>
    <w:rsid w:val="00C97A19"/>
    <w:pPr>
      <w:ind w:firstLine="0"/>
    </w:pPr>
  </w:style>
  <w:style w:type="paragraph" w:styleId="ListContinue5">
    <w:name w:val="List Continue 5"/>
    <w:basedOn w:val="List5"/>
    <w:rsid w:val="00C97A19"/>
    <w:pPr>
      <w:ind w:firstLine="0"/>
    </w:pPr>
  </w:style>
  <w:style w:type="paragraph" w:styleId="ListNumber3">
    <w:name w:val="List Number 3"/>
    <w:basedOn w:val="List3"/>
    <w:rsid w:val="00C97A19"/>
    <w:pPr>
      <w:numPr>
        <w:numId w:val="5"/>
      </w:numPr>
    </w:pPr>
  </w:style>
  <w:style w:type="paragraph" w:styleId="ListNumber4">
    <w:name w:val="List Number 4"/>
    <w:basedOn w:val="List4"/>
    <w:rsid w:val="00C97A19"/>
    <w:pPr>
      <w:numPr>
        <w:numId w:val="6"/>
      </w:numPr>
    </w:pPr>
  </w:style>
  <w:style w:type="paragraph" w:styleId="ListNumber5">
    <w:name w:val="List Number 5"/>
    <w:basedOn w:val="List5"/>
    <w:rsid w:val="00C97A19"/>
    <w:pPr>
      <w:numPr>
        <w:numId w:val="7"/>
      </w:numPr>
    </w:pPr>
  </w:style>
  <w:style w:type="paragraph" w:styleId="BlockText">
    <w:name w:val="Block Text"/>
    <w:basedOn w:val="Normal"/>
    <w:rsid w:val="00C97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A19"/>
    <w:rPr>
      <w:sz w:val="16"/>
      <w:vertAlign w:val="superscript"/>
    </w:rPr>
  </w:style>
  <w:style w:type="character" w:customStyle="1" w:styleId="Symbols">
    <w:name w:val="Symbols"/>
    <w:basedOn w:val="DefaultParagraphFont"/>
    <w:rsid w:val="00C97A19"/>
    <w:rPr>
      <w:rFonts w:ascii="Symbol" w:hAnsi="Symbol"/>
    </w:rPr>
  </w:style>
  <w:style w:type="character" w:customStyle="1" w:styleId="MenuOptions">
    <w:name w:val="Menu Options"/>
    <w:basedOn w:val="DefaultParagraphFont"/>
    <w:rsid w:val="00C97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A19"/>
    <w:rPr>
      <w:b/>
    </w:rPr>
  </w:style>
  <w:style w:type="character" w:customStyle="1" w:styleId="Underlined">
    <w:name w:val="Underlined"/>
    <w:basedOn w:val="DefaultParagraphFont"/>
    <w:rsid w:val="00C97A19"/>
    <w:rPr>
      <w:u w:val="single"/>
    </w:rPr>
  </w:style>
  <w:style w:type="paragraph" w:customStyle="1" w:styleId="TableBodyTextRight">
    <w:name w:val="Table Body Text Right"/>
    <w:basedOn w:val="TableBodyText"/>
    <w:rsid w:val="00C97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A19"/>
    <w:rPr>
      <w:sz w:val="18"/>
    </w:rPr>
  </w:style>
  <w:style w:type="paragraph" w:customStyle="1" w:styleId="BodySmallRight">
    <w:name w:val="Body Small Right"/>
    <w:basedOn w:val="BodyTextRight"/>
    <w:rsid w:val="00C97A19"/>
    <w:rPr>
      <w:sz w:val="18"/>
      <w:szCs w:val="18"/>
    </w:rPr>
  </w:style>
  <w:style w:type="paragraph" w:customStyle="1" w:styleId="MarginEdition">
    <w:name w:val="Margin Edition"/>
    <w:basedOn w:val="MarginNote"/>
    <w:rsid w:val="00C97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A19"/>
    <w:rPr>
      <w:sz w:val="2"/>
      <w:szCs w:val="2"/>
    </w:rPr>
  </w:style>
  <w:style w:type="character" w:customStyle="1" w:styleId="Small">
    <w:name w:val="Small"/>
    <w:basedOn w:val="DefaultParagraphFont"/>
    <w:rsid w:val="00C97A19"/>
    <w:rPr>
      <w:sz w:val="16"/>
    </w:rPr>
  </w:style>
  <w:style w:type="paragraph" w:customStyle="1" w:styleId="WideTable">
    <w:name w:val="Wide Table"/>
    <w:basedOn w:val="Normal"/>
    <w:rsid w:val="00C97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A19"/>
  </w:style>
  <w:style w:type="paragraph" w:styleId="Quote">
    <w:name w:val="Quote"/>
    <w:basedOn w:val="Heading1"/>
    <w:link w:val="QuoteChar"/>
    <w:qFormat/>
    <w:rsid w:val="00C97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A19"/>
    <w:pPr>
      <w:pageBreakBefore/>
    </w:pPr>
  </w:style>
  <w:style w:type="paragraph" w:customStyle="1" w:styleId="Border">
    <w:name w:val="Border"/>
    <w:basedOn w:val="Normal"/>
    <w:qFormat/>
    <w:rsid w:val="00C97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A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A19"/>
    <w:rPr>
      <w:u w:val="single"/>
    </w:rPr>
  </w:style>
  <w:style w:type="character" w:customStyle="1" w:styleId="BoldandItalics">
    <w:name w:val="Bold and Italics"/>
    <w:qFormat/>
    <w:rsid w:val="00C97A19"/>
    <w:rPr>
      <w:b/>
      <w:i/>
      <w:u w:val="none"/>
    </w:rPr>
  </w:style>
  <w:style w:type="paragraph" w:styleId="BalloonText">
    <w:name w:val="Balloon Text"/>
    <w:basedOn w:val="Normal"/>
    <w:link w:val="BalloonTextChar"/>
    <w:rsid w:val="00C97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A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A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A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A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A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A19"/>
    <w:pPr>
      <w:spacing w:before="0" w:after="0"/>
    </w:pPr>
  </w:style>
  <w:style w:type="paragraph" w:customStyle="1" w:styleId="BodyTextBold">
    <w:name w:val="Body Text Bold"/>
    <w:basedOn w:val="BodyText"/>
    <w:qFormat/>
    <w:rsid w:val="00C97A19"/>
    <w:rPr>
      <w:b/>
    </w:rPr>
  </w:style>
  <w:style w:type="character" w:styleId="Hyperlink">
    <w:name w:val="Hyperlink"/>
    <w:basedOn w:val="DefaultParagraphFont"/>
    <w:uiPriority w:val="99"/>
    <w:unhideWhenUsed/>
    <w:rsid w:val="00FF0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3587</Characters>
  <Application>Microsoft Office Word</Application>
  <DocSecurity>0</DocSecurity>
  <Lines>94</Lines>
  <Paragraphs>73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FNSASIC312 Provide personal advice on non-relevant financial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