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71C" w:rsidP="004C4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FNSASIC311 Establish client relationship and analyse needs</w:t>
      </w:r>
      <w:r>
        <w:fldChar w:fldCharType="end"/>
      </w:r>
    </w:p>
    <w:p w:rsidR="004C471C" w:rsidP="004C471C">
      <w:pPr>
        <w:pStyle w:val="Version"/>
        <w:sectPr w:rsidSect="00F53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31A" w:rsidP="00F5331A">
      <w:pPr>
        <w:pStyle w:val="SuperHeading"/>
      </w:pPr>
      <w:r w:rsidRPr="00F5331A">
        <w:t>Assessment Requirements for FNSASIC311 Establish client relationship and analyse needs</w:t>
      </w:r>
    </w:p>
    <w:p w:rsidR="00000000" w:rsidRPr="00F5331A" w:rsidP="00F5331A">
      <w:pPr>
        <w:pStyle w:val="Heading1"/>
      </w:pPr>
      <w:bookmarkStart w:id="1" w:name="O_1235269"/>
      <w:bookmarkEnd w:id="1"/>
      <w:r w:rsidRPr="00F533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31A" w:rsidP="00F5331A">
            <w:pPr>
              <w:pStyle w:val="BodyText"/>
            </w:pPr>
            <w:r w:rsidRPr="00F5331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31A">
            <w:pPr>
              <w:pStyle w:val="BodyText"/>
              <w:rPr>
                <w:lang w:val="en-NZ"/>
              </w:rPr>
            </w:pPr>
            <w:r w:rsidRPr="00F5331A">
              <w:rPr>
                <w:rStyle w:val="SpecialBold"/>
              </w:rPr>
              <w:t>Comments</w:t>
            </w:r>
          </w:p>
        </w:tc>
      </w:tr>
      <w:tr w:rsidTr="00F533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31A">
            <w:pPr>
              <w:pStyle w:val="BodyText"/>
              <w:rPr>
                <w:lang w:val="en-NZ"/>
              </w:rPr>
            </w:pPr>
            <w:r w:rsidRPr="00F5331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31A" w:rsidP="00F5331A">
            <w:pPr>
              <w:pStyle w:val="BodyText"/>
            </w:pPr>
            <w:r w:rsidRPr="00F5331A">
              <w:t>This version first released with the FNS Financial Services Training Package Version 8.0.</w:t>
            </w:r>
          </w:p>
          <w:p w:rsidR="00000000" w:rsidRPr="00F5331A" w:rsidP="00F5331A">
            <w:pPr>
              <w:pStyle w:val="BodyText"/>
            </w:pPr>
            <w:r w:rsidRPr="00F5331A">
              <w:t>Supersedes and is equivalent to FNSASIC301 Establish client relationship and analyse needs.</w:t>
            </w:r>
          </w:p>
        </w:tc>
      </w:tr>
    </w:tbl>
    <w:p w:rsidR="00000000" w:rsidRPr="00F5331A" w:rsidP="00F5331A">
      <w:pPr>
        <w:pStyle w:val="BodyText"/>
      </w:pPr>
    </w:p>
    <w:p w:rsidR="00000000" w:rsidRPr="00F5331A" w:rsidP="00F5331A">
      <w:pPr>
        <w:pStyle w:val="AllowPageBreak"/>
      </w:pPr>
    </w:p>
    <w:p w:rsidR="00000000" w:rsidRPr="00F5331A" w:rsidP="00F5331A">
      <w:pPr>
        <w:pStyle w:val="Heading1"/>
      </w:pPr>
      <w:bookmarkStart w:id="2" w:name="O_1235270"/>
      <w:bookmarkEnd w:id="2"/>
      <w:r w:rsidRPr="00F5331A">
        <w:t>Performance Evidence</w:t>
      </w:r>
    </w:p>
    <w:p w:rsidR="00000000" w:rsidRPr="00F5331A" w:rsidP="004C471C">
      <w:pPr>
        <w:pStyle w:val="BodyText"/>
      </w:pPr>
      <w:r w:rsidRPr="00F5331A">
        <w:t>The candidate must demonstrate the ability to complete the tasks outlined in the elements, performance criteria and founda</w:t>
      </w:r>
      <w:r w:rsidRPr="00F5331A">
        <w:t>tion skills of this unit, including evidence of the ability to:</w:t>
      </w:r>
    </w:p>
    <w:p w:rsidR="00000000" w:rsidRPr="00F5331A" w:rsidP="00F5331A">
      <w:pPr>
        <w:pStyle w:val="ListBullet"/>
      </w:pPr>
      <w:r w:rsidRPr="00F5331A">
        <w:t>establish relationship with and analyse the needs of at least two different clients.</w:t>
      </w:r>
    </w:p>
    <w:p w:rsidR="00000000" w:rsidRPr="00F5331A" w:rsidP="00F5331A">
      <w:pPr>
        <w:pStyle w:val="BodyText"/>
      </w:pPr>
    </w:p>
    <w:p w:rsidR="00000000" w:rsidRPr="00F5331A" w:rsidP="004C471C">
      <w:pPr>
        <w:pStyle w:val="BodyText"/>
      </w:pPr>
      <w:r w:rsidRPr="00F5331A">
        <w:t>In the course of the above, the candidate must:</w:t>
      </w:r>
    </w:p>
    <w:p w:rsidR="00000000" w:rsidRPr="00F5331A" w:rsidP="00F5331A">
      <w:pPr>
        <w:pStyle w:val="ListBullet"/>
      </w:pPr>
      <w:r w:rsidRPr="00F5331A">
        <w:t>inform client of role and compliance wi</w:t>
      </w:r>
      <w:r w:rsidRPr="00F5331A">
        <w:t>th requirements of industry regulations and codes of practice</w:t>
      </w:r>
    </w:p>
    <w:p w:rsidR="00000000" w:rsidRPr="00F5331A" w:rsidP="00F5331A">
      <w:pPr>
        <w:pStyle w:val="ListBullet"/>
      </w:pPr>
      <w:r w:rsidRPr="00F5331A">
        <w:t xml:space="preserve">complete clients’ product risk profiles </w:t>
      </w:r>
    </w:p>
    <w:p w:rsidR="00000000" w:rsidRPr="00F5331A" w:rsidP="00F5331A">
      <w:pPr>
        <w:pStyle w:val="ListBullet"/>
      </w:pPr>
      <w:r w:rsidRPr="00F5331A">
        <w:t>refer at least one of the above clients for higher level or specialist advice.</w:t>
      </w:r>
    </w:p>
    <w:p w:rsidR="00000000" w:rsidRPr="00F5331A" w:rsidP="00F5331A">
      <w:pPr>
        <w:pStyle w:val="AllowPageBreak"/>
      </w:pPr>
    </w:p>
    <w:p w:rsidR="00000000" w:rsidRPr="00F5331A" w:rsidP="00F5331A">
      <w:pPr>
        <w:pStyle w:val="Heading1"/>
      </w:pPr>
      <w:bookmarkStart w:id="3" w:name="O_1235271"/>
      <w:bookmarkEnd w:id="3"/>
      <w:r w:rsidRPr="00F5331A">
        <w:t>Knowledge Evidence</w:t>
      </w:r>
    </w:p>
    <w:p w:rsidR="00000000" w:rsidRPr="00F5331A" w:rsidP="004C471C">
      <w:pPr>
        <w:pStyle w:val="BodyText"/>
      </w:pPr>
      <w:r w:rsidRPr="00F5331A">
        <w:t>The candidate must be able to demons</w:t>
      </w:r>
      <w:r w:rsidRPr="00F5331A">
        <w:t>trate knowledge to complete the tasks outlined in the elements, performance criteria and foundation skills of this unit, including knowledge of:</w:t>
      </w:r>
    </w:p>
    <w:p w:rsidR="00000000" w:rsidRPr="00F5331A" w:rsidP="00F5331A">
      <w:pPr>
        <w:pStyle w:val="ListBullet"/>
      </w:pPr>
      <w:r w:rsidRPr="00F5331A">
        <w:t>key aspects of the legal and regulatory environment surrounding general insurance, deposit products and non-ca</w:t>
      </w:r>
      <w:r w:rsidRPr="00F5331A">
        <w:t>sh payments and relevant first home saver account products, including:</w:t>
      </w:r>
    </w:p>
    <w:p w:rsidR="00000000" w:rsidRPr="00F5331A" w:rsidP="00F5331A">
      <w:pPr>
        <w:pStyle w:val="ListBullet2"/>
      </w:pPr>
      <w:r w:rsidRPr="00F5331A">
        <w:t>disclosure and compliance</w:t>
      </w:r>
    </w:p>
    <w:p w:rsidR="00000000" w:rsidRPr="00F5331A" w:rsidP="00F5331A">
      <w:pPr>
        <w:pStyle w:val="ListBullet2"/>
      </w:pPr>
      <w:r w:rsidRPr="00F5331A">
        <w:t>role of representative and adviser</w:t>
      </w:r>
    </w:p>
    <w:p w:rsidR="00000000" w:rsidRPr="00F5331A" w:rsidP="00F5331A">
      <w:pPr>
        <w:pStyle w:val="ListBullet2"/>
      </w:pPr>
      <w:r w:rsidRPr="00F5331A">
        <w:t>legal principles, including the Corporations Act, Competition and Consumer Act, and Australian Securities and Investments C</w:t>
      </w:r>
      <w:r w:rsidRPr="00F5331A">
        <w:t>ommission (ASIC) Act</w:t>
      </w:r>
    </w:p>
    <w:p w:rsidR="00000000" w:rsidRPr="00F5331A" w:rsidP="00F5331A">
      <w:pPr>
        <w:pStyle w:val="ListBullet2"/>
      </w:pPr>
      <w:r w:rsidRPr="00F5331A">
        <w:t>relationship between ethics and regulatory requirements, including good faith, utmost good faith, full disclosure of remuneration and fees, and any other conflicts of interest that may influence adviser’s recommendation</w:t>
      </w:r>
    </w:p>
    <w:p w:rsidR="00000000" w:rsidRPr="00F5331A" w:rsidP="00F5331A">
      <w:pPr>
        <w:pStyle w:val="ListBullet2"/>
      </w:pPr>
      <w:r w:rsidRPr="00F5331A">
        <w:t>ASIC regulatory</w:t>
      </w:r>
      <w:r w:rsidRPr="00F5331A">
        <w:t xml:space="preserve"> guidelines and industry codes of practice and conduct relating to work described in performance evidence</w:t>
      </w:r>
    </w:p>
    <w:p w:rsidR="00000000" w:rsidRPr="00F5331A" w:rsidP="00F5331A">
      <w:pPr>
        <w:pStyle w:val="ListBullet2"/>
      </w:pPr>
      <w:r w:rsidRPr="00F5331A">
        <w:t>resolution procedures for internal and external complaints</w:t>
      </w:r>
    </w:p>
    <w:p w:rsidR="00000000" w:rsidRPr="00F5331A" w:rsidP="00F5331A">
      <w:pPr>
        <w:pStyle w:val="ListBullet"/>
      </w:pPr>
      <w:r w:rsidRPr="00F5331A">
        <w:t>key aspects of general insurance, including:</w:t>
      </w:r>
    </w:p>
    <w:p w:rsidR="00000000" w:rsidRPr="00F5331A" w:rsidP="00F5331A">
      <w:pPr>
        <w:pStyle w:val="ListBullet2"/>
      </w:pPr>
      <w:r w:rsidRPr="00F5331A">
        <w:t>characteristics of and participants in Australian insurance markets and roles played by intermediaries</w:t>
      </w:r>
    </w:p>
    <w:p w:rsidR="00000000" w:rsidRPr="00F5331A" w:rsidP="00F5331A">
      <w:pPr>
        <w:pStyle w:val="ListBullet2"/>
      </w:pPr>
      <w:r w:rsidRPr="00F5331A">
        <w:t>key types and aspects of insurance products, including:</w:t>
      </w:r>
    </w:p>
    <w:p w:rsidR="00000000" w:rsidRPr="00F5331A" w:rsidP="00F5331A">
      <w:pPr>
        <w:pStyle w:val="ListBullet3"/>
      </w:pPr>
      <w:r w:rsidRPr="00F5331A">
        <w:t>types of insurance products</w:t>
      </w:r>
    </w:p>
    <w:p w:rsidR="00000000" w:rsidRPr="00F5331A" w:rsidP="00F5331A">
      <w:pPr>
        <w:pStyle w:val="ListBullet3"/>
      </w:pPr>
      <w:r w:rsidRPr="00F5331A">
        <w:t>conditions, exclusions and level of coverage of risk transfer produc</w:t>
      </w:r>
      <w:r w:rsidRPr="00F5331A">
        <w:t>ts</w:t>
      </w:r>
    </w:p>
    <w:p w:rsidR="00000000" w:rsidRPr="00F5331A" w:rsidP="00F5331A">
      <w:pPr>
        <w:pStyle w:val="ListBullet3"/>
      </w:pPr>
      <w:r w:rsidRPr="00F5331A">
        <w:t>pricing of risk products</w:t>
      </w:r>
    </w:p>
    <w:p w:rsidR="00000000" w:rsidRPr="00F5331A" w:rsidP="00F5331A">
      <w:pPr>
        <w:pStyle w:val="ListBullet2"/>
      </w:pPr>
      <w:r w:rsidRPr="00F5331A">
        <w:t>taxation issues relating to insurance products</w:t>
      </w:r>
    </w:p>
    <w:p w:rsidR="00000000" w:rsidRPr="00F5331A" w:rsidP="00F5331A">
      <w:pPr>
        <w:pStyle w:val="ListBullet2"/>
      </w:pPr>
      <w:r w:rsidRPr="00F5331A">
        <w:t>advisory functions, including:</w:t>
      </w:r>
    </w:p>
    <w:p w:rsidR="00000000" w:rsidRPr="00F5331A" w:rsidP="00F5331A">
      <w:pPr>
        <w:pStyle w:val="ListBullet3"/>
      </w:pPr>
      <w:r w:rsidRPr="00F5331A">
        <w:t>role of representative, broker and adviser</w:t>
      </w:r>
    </w:p>
    <w:p w:rsidR="00000000" w:rsidRPr="00F5331A" w:rsidP="00F5331A">
      <w:pPr>
        <w:pStyle w:val="ListBullet3"/>
      </w:pPr>
      <w:r w:rsidRPr="00F5331A">
        <w:t>participants in the insurance advisory services market</w:t>
      </w:r>
    </w:p>
    <w:p w:rsidR="00000000" w:rsidRPr="00F5331A" w:rsidP="00F5331A">
      <w:pPr>
        <w:pStyle w:val="ListBullet3"/>
      </w:pPr>
      <w:r w:rsidRPr="00F5331A">
        <w:t>range of services provided</w:t>
      </w:r>
    </w:p>
    <w:p w:rsidR="00000000" w:rsidRPr="00F5331A" w:rsidP="00F5331A">
      <w:pPr>
        <w:pStyle w:val="ListBullet3"/>
      </w:pPr>
      <w:r w:rsidRPr="00F5331A">
        <w:t>profile and financial information of the client</w:t>
      </w:r>
    </w:p>
    <w:p w:rsidR="00000000" w:rsidRPr="00F5331A" w:rsidP="00F5331A">
      <w:pPr>
        <w:pStyle w:val="ListBullet3"/>
      </w:pPr>
      <w:r w:rsidRPr="00F5331A">
        <w:t>appropriateness of a risk assessment</w:t>
      </w:r>
    </w:p>
    <w:p w:rsidR="00000000" w:rsidRPr="00F5331A" w:rsidP="00F5331A">
      <w:pPr>
        <w:pStyle w:val="ListBullet2"/>
      </w:pPr>
      <w:r w:rsidRPr="00F5331A">
        <w:t>specific product knowledge for the general insurance products in which advice is given, including:</w:t>
      </w:r>
    </w:p>
    <w:p w:rsidR="00000000" w:rsidRPr="00F5331A" w:rsidP="00F5331A">
      <w:pPr>
        <w:pStyle w:val="ListBullet3"/>
      </w:pPr>
      <w:r w:rsidRPr="00F5331A">
        <w:t>standard cover and deviations</w:t>
      </w:r>
    </w:p>
    <w:p w:rsidR="00000000" w:rsidRPr="00F5331A" w:rsidP="00F5331A">
      <w:pPr>
        <w:pStyle w:val="ListBullet3"/>
      </w:pPr>
      <w:r w:rsidRPr="00F5331A">
        <w:t>policy wordings</w:t>
      </w:r>
    </w:p>
    <w:p w:rsidR="00000000" w:rsidRPr="00F5331A" w:rsidP="00F5331A">
      <w:pPr>
        <w:pStyle w:val="ListBullet3"/>
      </w:pPr>
      <w:r w:rsidRPr="00F5331A">
        <w:t>taxes and charges</w:t>
      </w:r>
    </w:p>
    <w:p w:rsidR="00000000" w:rsidRPr="00F5331A" w:rsidP="00F5331A">
      <w:pPr>
        <w:pStyle w:val="ListBullet3"/>
      </w:pPr>
      <w:r w:rsidRPr="00F5331A">
        <w:t>insura</w:t>
      </w:r>
      <w:r w:rsidRPr="00F5331A">
        <w:t>nce claims</w:t>
      </w:r>
    </w:p>
    <w:p w:rsidR="00000000" w:rsidRPr="00F5331A" w:rsidP="00F5331A">
      <w:pPr>
        <w:pStyle w:val="ListBullet3"/>
      </w:pPr>
      <w:r w:rsidRPr="00F5331A">
        <w:t>premium rating and risk selection</w:t>
      </w:r>
    </w:p>
    <w:p w:rsidR="00000000" w:rsidRPr="00F5331A" w:rsidP="00F5331A">
      <w:pPr>
        <w:pStyle w:val="ListBullet3"/>
      </w:pPr>
      <w:r w:rsidRPr="00F5331A">
        <w:t>reporting</w:t>
      </w:r>
    </w:p>
    <w:p w:rsidR="00000000" w:rsidRPr="00F5331A" w:rsidP="00F5331A">
      <w:pPr>
        <w:pStyle w:val="ListBullet3"/>
      </w:pPr>
      <w:r w:rsidRPr="00F5331A">
        <w:t>underwriting</w:t>
      </w:r>
    </w:p>
    <w:p w:rsidR="00000000" w:rsidRPr="00F5331A" w:rsidP="00F5331A">
      <w:pPr>
        <w:pStyle w:val="ListBullet"/>
      </w:pPr>
      <w:r w:rsidRPr="00F5331A">
        <w:t>key aspects of deposit products and non-cash payment facilities, including:</w:t>
      </w:r>
    </w:p>
    <w:p w:rsidR="00000000" w:rsidRPr="00F5331A" w:rsidP="00F5331A">
      <w:pPr>
        <w:pStyle w:val="ListBullet2"/>
      </w:pPr>
      <w:r w:rsidRPr="00F5331A">
        <w:t>types of deposit products and non-cash payment products</w:t>
      </w:r>
    </w:p>
    <w:p w:rsidR="00000000" w:rsidRPr="00F5331A" w:rsidP="00F5331A">
      <w:pPr>
        <w:pStyle w:val="ListBullet2"/>
      </w:pPr>
      <w:r w:rsidRPr="00F5331A">
        <w:t>product characteristics</w:t>
      </w:r>
    </w:p>
    <w:p w:rsidR="00000000" w:rsidRPr="00F5331A" w:rsidP="00F5331A">
      <w:pPr>
        <w:pStyle w:val="ListBullet"/>
      </w:pPr>
      <w:r w:rsidRPr="00F5331A">
        <w:t>key aspects of first home saver accounts, including:</w:t>
      </w:r>
    </w:p>
    <w:p w:rsidR="00000000" w:rsidRPr="00F5331A" w:rsidP="00F5331A">
      <w:pPr>
        <w:pStyle w:val="ListBullet2"/>
      </w:pPr>
      <w:r w:rsidRPr="00F5331A">
        <w:t>types of first home saver account products, including the range of accounts, associated risks and alternative products</w:t>
      </w:r>
    </w:p>
    <w:p w:rsidR="00000000" w:rsidRPr="00F5331A" w:rsidP="00F5331A">
      <w:pPr>
        <w:pStyle w:val="ListBullet2"/>
      </w:pPr>
      <w:r w:rsidRPr="00F5331A">
        <w:t>product characteristics relating to first home saver accounts, including:</w:t>
      </w:r>
    </w:p>
    <w:p w:rsidR="00000000" w:rsidRPr="00F5331A" w:rsidP="00F5331A">
      <w:pPr>
        <w:pStyle w:val="ListBullet3"/>
      </w:pPr>
      <w:r w:rsidRPr="00F5331A">
        <w:t>eligibil</w:t>
      </w:r>
      <w:r w:rsidRPr="00F5331A">
        <w:t>ity and withdrawal</w:t>
      </w:r>
    </w:p>
    <w:p w:rsidR="00000000" w:rsidRPr="00F5331A" w:rsidP="00F5331A">
      <w:pPr>
        <w:pStyle w:val="ListBullet3"/>
      </w:pPr>
      <w:r w:rsidRPr="00F5331A">
        <w:t>government conditions</w:t>
      </w:r>
    </w:p>
    <w:p w:rsidR="00000000" w:rsidRPr="00F5331A" w:rsidP="00F5331A">
      <w:pPr>
        <w:pStyle w:val="ListBullet3"/>
      </w:pPr>
      <w:r w:rsidRPr="00F5331A">
        <w:t>taxation issues.</w:t>
      </w:r>
    </w:p>
    <w:p w:rsidR="00000000" w:rsidRPr="00F5331A" w:rsidP="00F5331A">
      <w:pPr>
        <w:pStyle w:val="AllowPageBreak"/>
      </w:pPr>
    </w:p>
    <w:p w:rsidR="00000000" w:rsidRPr="00F5331A" w:rsidP="00F5331A">
      <w:pPr>
        <w:pStyle w:val="Heading1"/>
      </w:pPr>
      <w:bookmarkStart w:id="4" w:name="O_1235272"/>
      <w:bookmarkEnd w:id="4"/>
      <w:r w:rsidRPr="00F5331A">
        <w:t>Assessment Conditions</w:t>
      </w:r>
    </w:p>
    <w:p w:rsidR="00000000" w:rsidRPr="00F5331A" w:rsidP="004C471C">
      <w:pPr>
        <w:pStyle w:val="BodyText"/>
      </w:pPr>
      <w:r w:rsidRPr="00F5331A">
        <w:t xml:space="preserve">Skills in this unit must be demonstrated in a workplace or simulated environment where the conditions are typical of those in a working environment in </w:t>
      </w:r>
      <w:r w:rsidRPr="00F5331A">
        <w:t>this industry.</w:t>
      </w:r>
    </w:p>
    <w:p w:rsidR="00000000" w:rsidRPr="00F5331A" w:rsidP="004C471C">
      <w:pPr>
        <w:pStyle w:val="BodyText"/>
      </w:pPr>
      <w:r w:rsidRPr="00F5331A">
        <w:t>This includes access to:</w:t>
      </w:r>
    </w:p>
    <w:p w:rsidR="00000000" w:rsidRPr="00F5331A" w:rsidP="00F5331A">
      <w:pPr>
        <w:pStyle w:val="ListBullet"/>
      </w:pPr>
      <w:r w:rsidRPr="00F5331A">
        <w:t>office equipment, technology, software and consumables used to analyse client needs</w:t>
      </w:r>
    </w:p>
    <w:p w:rsidR="00000000" w:rsidRPr="00F5331A" w:rsidP="00F5331A">
      <w:pPr>
        <w:pStyle w:val="ListBullet"/>
      </w:pPr>
      <w:r w:rsidRPr="00F5331A">
        <w:t>clients requiring general financial advice on general insurance products</w:t>
      </w:r>
    </w:p>
    <w:p w:rsidR="00000000" w:rsidRPr="00F5331A" w:rsidP="00F5331A">
      <w:pPr>
        <w:pStyle w:val="ListBullet"/>
      </w:pPr>
      <w:r w:rsidRPr="00F5331A">
        <w:t>general insurance product information.</w:t>
      </w:r>
    </w:p>
    <w:p w:rsidR="00000000" w:rsidRPr="00F5331A" w:rsidP="00F5331A">
      <w:pPr>
        <w:pStyle w:val="BodyText"/>
      </w:pPr>
    </w:p>
    <w:p w:rsidR="00000000" w:rsidRPr="00F5331A" w:rsidP="004C471C">
      <w:pPr>
        <w:pStyle w:val="BodyText"/>
      </w:pPr>
      <w:r w:rsidRPr="00F5331A">
        <w:t xml:space="preserve">Assessors of this </w:t>
      </w:r>
      <w:r w:rsidRPr="00F5331A">
        <w:t>unit must satisfy the requirements for assessors in applicable vocational education and training legislation, frameworks and/or standards.</w:t>
      </w:r>
    </w:p>
    <w:p w:rsidR="00000000" w:rsidRPr="00F5331A" w:rsidP="00F5331A">
      <w:pPr>
        <w:pStyle w:val="Heading1"/>
      </w:pPr>
      <w:bookmarkStart w:id="5" w:name="O_1235275"/>
      <w:bookmarkEnd w:id="5"/>
      <w:r w:rsidRPr="00F5331A">
        <w:t>Links</w:t>
      </w:r>
    </w:p>
    <w:p w:rsidR="00000000" w:rsidRPr="00F5331A" w:rsidP="004C471C">
      <w:pPr>
        <w:pStyle w:val="BodyText"/>
      </w:pPr>
      <w:r w:rsidRPr="00F533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8169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331A" w:rsidP="00F5331A"/>
    <w:sectPr w:rsidSect="00F5331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A" w:rsidRPr="004C471C" w:rsidP="004C4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1C" w:rsidP="00F53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471C" w:rsidP="00F53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471C" w:rsidP="00F53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31A" w:rsidRPr="004C471C" w:rsidP="004C4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71C" w:rsidRPr="002D2AF8" w:rsidP="00F53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FNSASIC311 Establish client relationship and analyse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C471C" w:rsidP="00F53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F677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86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A12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31A"/>
  </w:style>
  <w:style w:type="character" w:customStyle="1" w:styleId="Heading1Char">
    <w:name w:val="Heading 1 Char"/>
    <w:basedOn w:val="DefaultParagraphFont"/>
    <w:link w:val="Heading1"/>
    <w:rsid w:val="00F53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3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31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31A"/>
    <w:rPr>
      <w:b/>
      <w:spacing w:val="0"/>
    </w:rPr>
  </w:style>
  <w:style w:type="paragraph" w:styleId="ListBullet2">
    <w:name w:val="List Bullet 2"/>
    <w:basedOn w:val="List2"/>
    <w:rsid w:val="00F5331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3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5331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53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3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3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3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3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31A"/>
    <w:rPr>
      <w:i/>
    </w:rPr>
  </w:style>
  <w:style w:type="paragraph" w:styleId="Caption">
    <w:name w:val="caption"/>
    <w:basedOn w:val="BodyText"/>
    <w:next w:val="Normal"/>
    <w:qFormat/>
    <w:rsid w:val="00F53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31A"/>
  </w:style>
  <w:style w:type="paragraph" w:styleId="TableofFigures">
    <w:name w:val="table of figures"/>
    <w:basedOn w:val="Normal"/>
    <w:next w:val="Normal"/>
    <w:semiHidden/>
    <w:rsid w:val="00F53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31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5331A"/>
    <w:rPr>
      <w:rFonts w:ascii="Wingdings" w:hAnsi="Wingdings"/>
    </w:rPr>
  </w:style>
  <w:style w:type="paragraph" w:customStyle="1" w:styleId="TableHeading">
    <w:name w:val="Table Heading"/>
    <w:basedOn w:val="HeadingBase"/>
    <w:rsid w:val="00F53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31A"/>
    <w:rPr>
      <w:color w:val="0033CC"/>
      <w:u w:val="none"/>
    </w:rPr>
  </w:style>
  <w:style w:type="paragraph" w:customStyle="1" w:styleId="BodyTextRight">
    <w:name w:val="Body Text Right"/>
    <w:basedOn w:val="BodyText"/>
    <w:rsid w:val="00F53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31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31A"/>
    <w:rPr>
      <w:sz w:val="32"/>
    </w:rPr>
  </w:style>
  <w:style w:type="paragraph" w:customStyle="1" w:styleId="HeadingProcedure">
    <w:name w:val="Heading Procedure"/>
    <w:basedOn w:val="HeadingBase"/>
    <w:next w:val="Normal"/>
    <w:rsid w:val="00F53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31A"/>
    <w:pPr>
      <w:spacing w:before="60" w:after="60"/>
    </w:pPr>
  </w:style>
  <w:style w:type="paragraph" w:styleId="ListContinue">
    <w:name w:val="List Continue"/>
    <w:basedOn w:val="List"/>
    <w:rsid w:val="00F5331A"/>
    <w:pPr>
      <w:ind w:firstLine="0"/>
    </w:pPr>
  </w:style>
  <w:style w:type="paragraph" w:customStyle="1" w:styleId="ListNote">
    <w:name w:val="List Note"/>
    <w:basedOn w:val="List"/>
    <w:rsid w:val="00F53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31A"/>
    <w:rPr>
      <w:rFonts w:ascii="Courier New" w:hAnsi="Courier New"/>
    </w:rPr>
  </w:style>
  <w:style w:type="paragraph" w:customStyle="1" w:styleId="NoteBullet">
    <w:name w:val="Note Bullet"/>
    <w:basedOn w:val="Note"/>
    <w:rsid w:val="00F53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31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53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31A"/>
    <w:rPr>
      <w:b/>
      <w:smallCaps/>
    </w:rPr>
  </w:style>
  <w:style w:type="paragraph" w:customStyle="1" w:styleId="TableListNumber">
    <w:name w:val="Table List Number"/>
    <w:basedOn w:val="ListNumber"/>
    <w:rsid w:val="00F53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31A"/>
    <w:pPr>
      <w:numPr>
        <w:numId w:val="10"/>
      </w:numPr>
    </w:pPr>
  </w:style>
  <w:style w:type="paragraph" w:customStyle="1" w:styleId="ListAlpha2">
    <w:name w:val="List Alpha 2"/>
    <w:basedOn w:val="List2"/>
    <w:rsid w:val="00F5331A"/>
    <w:pPr>
      <w:numPr>
        <w:numId w:val="9"/>
      </w:numPr>
    </w:pPr>
  </w:style>
  <w:style w:type="paragraph" w:styleId="List2">
    <w:name w:val="List 2"/>
    <w:basedOn w:val="BodyText"/>
    <w:rsid w:val="00F53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31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5331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5331A"/>
    <w:pPr>
      <w:numPr>
        <w:numId w:val="5"/>
      </w:numPr>
    </w:pPr>
  </w:style>
  <w:style w:type="paragraph" w:styleId="ListContinue2">
    <w:name w:val="List Continue 2"/>
    <w:basedOn w:val="List2"/>
    <w:rsid w:val="00F5331A"/>
    <w:pPr>
      <w:ind w:firstLine="0"/>
    </w:pPr>
  </w:style>
  <w:style w:type="paragraph" w:styleId="ListContinue3">
    <w:name w:val="List Continue 3"/>
    <w:basedOn w:val="List3"/>
    <w:rsid w:val="00F5331A"/>
    <w:pPr>
      <w:ind w:left="1021" w:firstLine="0"/>
    </w:pPr>
  </w:style>
  <w:style w:type="paragraph" w:styleId="ListContinue4">
    <w:name w:val="List Continue 4"/>
    <w:basedOn w:val="List4"/>
    <w:rsid w:val="00F5331A"/>
    <w:pPr>
      <w:ind w:firstLine="0"/>
    </w:pPr>
  </w:style>
  <w:style w:type="paragraph" w:styleId="ListContinue5">
    <w:name w:val="List Continue 5"/>
    <w:basedOn w:val="List5"/>
    <w:rsid w:val="00F5331A"/>
    <w:pPr>
      <w:ind w:firstLine="0"/>
    </w:pPr>
  </w:style>
  <w:style w:type="paragraph" w:styleId="ListNumber3">
    <w:name w:val="List Number 3"/>
    <w:basedOn w:val="List3"/>
    <w:rsid w:val="00F5331A"/>
    <w:pPr>
      <w:numPr>
        <w:numId w:val="6"/>
      </w:numPr>
    </w:pPr>
  </w:style>
  <w:style w:type="paragraph" w:styleId="ListNumber4">
    <w:name w:val="List Number 4"/>
    <w:basedOn w:val="List4"/>
    <w:rsid w:val="00F5331A"/>
    <w:pPr>
      <w:numPr>
        <w:numId w:val="7"/>
      </w:numPr>
    </w:pPr>
  </w:style>
  <w:style w:type="paragraph" w:styleId="ListNumber5">
    <w:name w:val="List Number 5"/>
    <w:basedOn w:val="List5"/>
    <w:rsid w:val="00F5331A"/>
    <w:pPr>
      <w:numPr>
        <w:numId w:val="8"/>
      </w:numPr>
    </w:pPr>
  </w:style>
  <w:style w:type="paragraph" w:styleId="BlockText">
    <w:name w:val="Block Text"/>
    <w:basedOn w:val="Normal"/>
    <w:rsid w:val="00F53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31A"/>
    <w:rPr>
      <w:sz w:val="16"/>
      <w:vertAlign w:val="superscript"/>
    </w:rPr>
  </w:style>
  <w:style w:type="character" w:customStyle="1" w:styleId="Symbols">
    <w:name w:val="Symbols"/>
    <w:basedOn w:val="DefaultParagraphFont"/>
    <w:rsid w:val="00F5331A"/>
    <w:rPr>
      <w:rFonts w:ascii="Symbol" w:hAnsi="Symbol"/>
    </w:rPr>
  </w:style>
  <w:style w:type="character" w:customStyle="1" w:styleId="MenuOptions">
    <w:name w:val="Menu Options"/>
    <w:basedOn w:val="DefaultParagraphFont"/>
    <w:rsid w:val="00F53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31A"/>
    <w:rPr>
      <w:b/>
    </w:rPr>
  </w:style>
  <w:style w:type="character" w:customStyle="1" w:styleId="Underlined">
    <w:name w:val="Underlined"/>
    <w:basedOn w:val="DefaultParagraphFont"/>
    <w:rsid w:val="00F5331A"/>
    <w:rPr>
      <w:u w:val="single"/>
    </w:rPr>
  </w:style>
  <w:style w:type="paragraph" w:customStyle="1" w:styleId="TableBodyTextRight">
    <w:name w:val="Table Body Text Right"/>
    <w:basedOn w:val="TableBodyText"/>
    <w:rsid w:val="00F53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31A"/>
    <w:rPr>
      <w:sz w:val="18"/>
    </w:rPr>
  </w:style>
  <w:style w:type="paragraph" w:customStyle="1" w:styleId="BodySmallRight">
    <w:name w:val="Body Small Right"/>
    <w:basedOn w:val="BodyTextRight"/>
    <w:rsid w:val="00F5331A"/>
    <w:rPr>
      <w:sz w:val="18"/>
      <w:szCs w:val="18"/>
    </w:rPr>
  </w:style>
  <w:style w:type="paragraph" w:customStyle="1" w:styleId="MarginEdition">
    <w:name w:val="Margin Edition"/>
    <w:basedOn w:val="MarginNote"/>
    <w:rsid w:val="00F53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31A"/>
    <w:rPr>
      <w:sz w:val="2"/>
      <w:szCs w:val="2"/>
    </w:rPr>
  </w:style>
  <w:style w:type="character" w:customStyle="1" w:styleId="Small">
    <w:name w:val="Small"/>
    <w:basedOn w:val="DefaultParagraphFont"/>
    <w:rsid w:val="00F5331A"/>
    <w:rPr>
      <w:sz w:val="16"/>
    </w:rPr>
  </w:style>
  <w:style w:type="paragraph" w:customStyle="1" w:styleId="WideTable">
    <w:name w:val="Wide Table"/>
    <w:basedOn w:val="Normal"/>
    <w:rsid w:val="00F53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31A"/>
  </w:style>
  <w:style w:type="paragraph" w:styleId="Quote">
    <w:name w:val="Quote"/>
    <w:basedOn w:val="Heading1"/>
    <w:link w:val="QuoteChar"/>
    <w:qFormat/>
    <w:rsid w:val="00F53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31A"/>
    <w:pPr>
      <w:pageBreakBefore/>
    </w:pPr>
  </w:style>
  <w:style w:type="paragraph" w:customStyle="1" w:styleId="Border">
    <w:name w:val="Border"/>
    <w:basedOn w:val="Normal"/>
    <w:qFormat/>
    <w:rsid w:val="00F53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31A"/>
    <w:rPr>
      <w:u w:val="single"/>
    </w:rPr>
  </w:style>
  <w:style w:type="character" w:customStyle="1" w:styleId="BoldandItalics">
    <w:name w:val="Bold and Italics"/>
    <w:qFormat/>
    <w:rsid w:val="00F5331A"/>
    <w:rPr>
      <w:b/>
      <w:i/>
      <w:u w:val="none"/>
    </w:rPr>
  </w:style>
  <w:style w:type="paragraph" w:styleId="BalloonText">
    <w:name w:val="Balloon Text"/>
    <w:basedOn w:val="Normal"/>
    <w:link w:val="BalloonTextChar"/>
    <w:rsid w:val="00F53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31A"/>
    <w:pPr>
      <w:spacing w:before="0" w:after="0"/>
    </w:pPr>
  </w:style>
  <w:style w:type="paragraph" w:customStyle="1" w:styleId="BodyTextBold">
    <w:name w:val="Body Text Bold"/>
    <w:basedOn w:val="BodyText"/>
    <w:qFormat/>
    <w:rsid w:val="00F5331A"/>
    <w:rPr>
      <w:b/>
    </w:rPr>
  </w:style>
  <w:style w:type="character" w:styleId="Hyperlink">
    <w:name w:val="Hyperlink"/>
    <w:basedOn w:val="DefaultParagraphFont"/>
    <w:uiPriority w:val="99"/>
    <w:unhideWhenUsed/>
    <w:rsid w:val="004C4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3625</Characters>
  <Application>Microsoft Office Word</Application>
  <DocSecurity>0</DocSecurity>
  <Lines>97</Lines>
  <Paragraphs>75</Paragraphs>
  <ScaleCrop>false</ScaleCrop>
  <Company>Author-it Software Corporation Ltd.</Company>
  <LinksUpToDate>false</LinksUpToDate>
  <CharactersWithSpaces>4103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FNSASIC311 Establish client relationship and analyse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