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FAC" w:rsidP="00280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FNSASIC303 Provide advice on first home saver account deposit products and non-cash payments</w:t>
      </w:r>
      <w:r>
        <w:fldChar w:fldCharType="end"/>
      </w:r>
    </w:p>
    <w:p w:rsidR="00280FAC" w:rsidP="00280FAC">
      <w:pPr>
        <w:pStyle w:val="Version"/>
        <w:sectPr w:rsidSect="00770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DFB" w:rsidP="00770DFB">
      <w:pPr>
        <w:pStyle w:val="SuperHeading"/>
      </w:pPr>
      <w:r w:rsidRPr="00770DFB">
        <w:t>Assessment Requirements for FNSASIC303 Provide advice on first home saver account deposit products and non-cash payments</w:t>
      </w:r>
    </w:p>
    <w:p w:rsidR="00000000" w:rsidRPr="00770DFB" w:rsidP="00770DFB">
      <w:pPr>
        <w:pStyle w:val="Heading1"/>
      </w:pPr>
      <w:bookmarkStart w:id="1" w:name="O_671942"/>
      <w:bookmarkEnd w:id="1"/>
      <w:r w:rsidRPr="00770D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0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FB" w:rsidP="00770DFB">
            <w:pPr>
              <w:pStyle w:val="BodyText"/>
            </w:pPr>
            <w:r w:rsidRPr="00770D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FB">
            <w:pPr>
              <w:pStyle w:val="BodyText"/>
              <w:rPr>
                <w:lang w:val="en-NZ"/>
              </w:rPr>
            </w:pPr>
            <w:r w:rsidRPr="00770DFB">
              <w:rPr>
                <w:rStyle w:val="SpecialBold"/>
              </w:rPr>
              <w:t>Comments</w:t>
            </w:r>
          </w:p>
        </w:tc>
      </w:tr>
      <w:tr w:rsidTr="00770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FB">
            <w:pPr>
              <w:pStyle w:val="BodyText"/>
              <w:rPr>
                <w:lang w:val="en-NZ"/>
              </w:rPr>
            </w:pPr>
            <w:r w:rsidRPr="00770D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FB" w:rsidP="00770DFB">
            <w:pPr>
              <w:pStyle w:val="BodyText"/>
            </w:pPr>
            <w:r w:rsidRPr="00770DFB">
              <w:t>This version first released with FNS Financial Services Training Package Version 1.0.</w:t>
            </w:r>
          </w:p>
        </w:tc>
      </w:tr>
    </w:tbl>
    <w:p w:rsidR="00000000" w:rsidRPr="00770DFB" w:rsidP="00770DFB">
      <w:pPr>
        <w:pStyle w:val="BodyText"/>
      </w:pPr>
    </w:p>
    <w:p w:rsidR="00000000" w:rsidRPr="00770DFB" w:rsidP="00770DFB">
      <w:pPr>
        <w:pStyle w:val="AllowPageBreak"/>
      </w:pPr>
    </w:p>
    <w:p w:rsidR="00000000" w:rsidRPr="00770DFB" w:rsidP="00770DFB">
      <w:pPr>
        <w:pStyle w:val="Heading1"/>
      </w:pPr>
      <w:bookmarkStart w:id="2" w:name="O_671943"/>
      <w:bookmarkEnd w:id="2"/>
      <w:r w:rsidRPr="00770DFB">
        <w:t>Performance Evidence</w:t>
      </w:r>
    </w:p>
    <w:p w:rsidR="00000000" w:rsidRPr="00770DFB" w:rsidP="00280FAC">
      <w:pPr>
        <w:pStyle w:val="BodyText"/>
      </w:pPr>
      <w:r w:rsidRPr="00770DFB">
        <w:t>Evidence of the ability to:</w:t>
      </w:r>
    </w:p>
    <w:p w:rsidR="00000000" w:rsidRPr="00770DFB" w:rsidP="00770DFB">
      <w:pPr>
        <w:pStyle w:val="ListBullet"/>
      </w:pPr>
      <w:r w:rsidRPr="00770DFB">
        <w:t>interpret and comply with industry regulations and codes of practice</w:t>
      </w:r>
    </w:p>
    <w:p w:rsidR="00000000" w:rsidRPr="00770DFB" w:rsidP="00770DFB">
      <w:pPr>
        <w:pStyle w:val="ListBullet"/>
      </w:pPr>
      <w:r w:rsidRPr="00770DFB">
        <w:t xml:space="preserve">analyse client needs relevant to first home saver account deposit products and services, and develop strategies and solutions to meet client requirements </w:t>
      </w:r>
    </w:p>
    <w:p w:rsidR="00000000" w:rsidRPr="00770DFB" w:rsidP="00770DFB">
      <w:pPr>
        <w:pStyle w:val="ListBullet"/>
      </w:pPr>
      <w:r w:rsidRPr="00770DFB">
        <w:t>finalise transactions, ensuring all documentation is completed accurately following organisational pr</w:t>
      </w:r>
      <w:r w:rsidRPr="00770DFB">
        <w:t xml:space="preserve">ocedures. </w:t>
      </w:r>
    </w:p>
    <w:p w:rsidR="00000000" w:rsidRPr="00770DFB" w:rsidP="00770DFB">
      <w:pPr>
        <w:pStyle w:val="BodyText"/>
      </w:pPr>
    </w:p>
    <w:p w:rsidR="00000000" w:rsidRPr="00770DFB" w:rsidP="00280FAC">
      <w:pPr>
        <w:pStyle w:val="BodyText"/>
      </w:pPr>
      <w:r w:rsidRPr="00770DFB">
        <w:t>Note: If a specific volume or frequency is not stated, then evidence must be provided at least once.</w:t>
      </w:r>
    </w:p>
    <w:p w:rsidR="00000000" w:rsidRPr="00770DFB" w:rsidP="00770DFB">
      <w:pPr>
        <w:pStyle w:val="Heading1"/>
      </w:pPr>
      <w:bookmarkStart w:id="3" w:name="O_671944"/>
      <w:bookmarkEnd w:id="3"/>
      <w:r w:rsidRPr="00770DFB">
        <w:t>Knowledge Evidence</w:t>
      </w:r>
    </w:p>
    <w:p w:rsidR="00000000" w:rsidRPr="00770DFB" w:rsidP="00280FAC">
      <w:pPr>
        <w:pStyle w:val="BodyText"/>
      </w:pPr>
      <w:r w:rsidRPr="00770DFB">
        <w:t>To complete the unit requirements safely and effectively, the individual must satisfy knowledge requirement</w:t>
      </w:r>
      <w:r w:rsidRPr="00770DFB">
        <w:t>s relevant to the products and activities in which advice is given. They must:</w:t>
      </w:r>
    </w:p>
    <w:p w:rsidR="00000000" w:rsidRPr="00770DFB" w:rsidP="00770DFB">
      <w:pPr>
        <w:pStyle w:val="ListBullet"/>
      </w:pPr>
      <w:r w:rsidRPr="00770DFB">
        <w:t>explain the legal environment including disclosure and compliance covering:</w:t>
      </w:r>
    </w:p>
    <w:p w:rsidR="00000000" w:rsidRPr="00770DFB" w:rsidP="00770DFB">
      <w:pPr>
        <w:pStyle w:val="ListBullet2"/>
      </w:pPr>
      <w:r w:rsidRPr="00770DFB">
        <w:t>role of the representative or adviser</w:t>
      </w:r>
    </w:p>
    <w:p w:rsidR="00000000" w:rsidRPr="00770DFB" w:rsidP="00770DFB">
      <w:pPr>
        <w:pStyle w:val="ListBullet2"/>
      </w:pPr>
      <w:r w:rsidRPr="00770DFB">
        <w:t>relevant legal principles relating to the Corporations Act, F</w:t>
      </w:r>
      <w:r w:rsidRPr="00770DFB">
        <w:t>inancial Services Reform Act (FSRA), Competition and Consumer Act, Privacy Amendment (Private Sector) Act and Australian Securities and Investments Commission (ASIC) Act</w:t>
      </w:r>
    </w:p>
    <w:p w:rsidR="00000000" w:rsidRPr="00770DFB" w:rsidP="00770DFB">
      <w:pPr>
        <w:pStyle w:val="ListBullet2"/>
      </w:pPr>
      <w:r w:rsidRPr="00770DFB">
        <w:t>relationship between ethics and regulatory requirements including good faith and utmos</w:t>
      </w:r>
      <w:r w:rsidRPr="00770DFB">
        <w:t>t good faith</w:t>
      </w:r>
    </w:p>
    <w:p w:rsidR="00000000" w:rsidRPr="00770DFB" w:rsidP="00770DFB">
      <w:pPr>
        <w:pStyle w:val="ListBullet2"/>
      </w:pPr>
      <w:r w:rsidRPr="00770DFB">
        <w:t>full disclosure of remuneration and fees and any other conflicts of interest which may influence the adviser</w:t>
      </w:r>
      <w:r>
        <w:t>’</w:t>
      </w:r>
      <w:r w:rsidRPr="00770DFB">
        <w:t>s recommendation</w:t>
      </w:r>
    </w:p>
    <w:p w:rsidR="00000000" w:rsidRPr="00770DFB" w:rsidP="00770DFB">
      <w:pPr>
        <w:pStyle w:val="ListBullet2"/>
      </w:pPr>
      <w:r w:rsidRPr="00770DFB">
        <w:t xml:space="preserve">relevant industry standards and codes of conduct </w:t>
      </w:r>
    </w:p>
    <w:p w:rsidR="00000000" w:rsidRPr="00770DFB" w:rsidP="00770DFB">
      <w:pPr>
        <w:pStyle w:val="ListBullet2"/>
      </w:pPr>
      <w:r w:rsidRPr="00770DFB">
        <w:t>complaints resolution procedures (internal and external)</w:t>
      </w:r>
    </w:p>
    <w:p w:rsidR="00000000" w:rsidRPr="00770DFB" w:rsidP="00770DFB">
      <w:pPr>
        <w:pStyle w:val="ListBullet2"/>
      </w:pPr>
      <w:r w:rsidRPr="00770DFB">
        <w:t>ASIC guidelines on adviser conduct and training</w:t>
      </w:r>
    </w:p>
    <w:p w:rsidR="00000000" w:rsidRPr="00770DFB" w:rsidP="00770DFB">
      <w:pPr>
        <w:pStyle w:val="ListBullet"/>
      </w:pPr>
      <w:r w:rsidRPr="00770DFB">
        <w:t>outline the economic environment and characteristics impacting on first home saver account products including:</w:t>
      </w:r>
    </w:p>
    <w:p w:rsidR="00000000" w:rsidRPr="00770DFB" w:rsidP="00770DFB">
      <w:pPr>
        <w:pStyle w:val="ListBullet2"/>
      </w:pPr>
      <w:r w:rsidRPr="00770DFB">
        <w:t>interest rates</w:t>
      </w:r>
    </w:p>
    <w:p w:rsidR="00000000" w:rsidRPr="00770DFB" w:rsidP="00770DFB">
      <w:pPr>
        <w:pStyle w:val="ListBullet2"/>
      </w:pPr>
      <w:r w:rsidRPr="00770DFB">
        <w:t>exchange rates</w:t>
      </w:r>
    </w:p>
    <w:p w:rsidR="00000000" w:rsidRPr="00770DFB" w:rsidP="00770DFB">
      <w:pPr>
        <w:pStyle w:val="ListBullet2"/>
      </w:pPr>
      <w:r w:rsidRPr="00770DFB">
        <w:t>inflation</w:t>
      </w:r>
    </w:p>
    <w:p w:rsidR="00000000" w:rsidRPr="00770DFB" w:rsidP="00770DFB">
      <w:pPr>
        <w:pStyle w:val="ListBullet2"/>
      </w:pPr>
      <w:r w:rsidRPr="00770DFB">
        <w:t>government monetary and fiscal policy</w:t>
      </w:r>
    </w:p>
    <w:p w:rsidR="00000000" w:rsidRPr="00770DFB" w:rsidP="00770DFB">
      <w:pPr>
        <w:pStyle w:val="ListBullet"/>
      </w:pPr>
      <w:r w:rsidRPr="00770DFB">
        <w:t>describe the ope</w:t>
      </w:r>
      <w:r w:rsidRPr="00770DFB">
        <w:t>ration of first home saver market institutions including:</w:t>
      </w:r>
    </w:p>
    <w:p w:rsidR="00000000" w:rsidRPr="00770DFB" w:rsidP="00770DFB">
      <w:pPr>
        <w:pStyle w:val="ListBullet2"/>
      </w:pPr>
      <w:r w:rsidRPr="00770DFB">
        <w:t>banks</w:t>
      </w:r>
    </w:p>
    <w:p w:rsidR="00000000" w:rsidRPr="00770DFB" w:rsidP="00770DFB">
      <w:pPr>
        <w:pStyle w:val="ListBullet2"/>
      </w:pPr>
      <w:r w:rsidRPr="00770DFB">
        <w:t>credit unions</w:t>
      </w:r>
    </w:p>
    <w:p w:rsidR="00000000" w:rsidRPr="00770DFB" w:rsidP="00770DFB">
      <w:pPr>
        <w:pStyle w:val="ListBullet2"/>
      </w:pPr>
      <w:r w:rsidRPr="00770DFB">
        <w:t>building societies</w:t>
      </w:r>
    </w:p>
    <w:p w:rsidR="00000000" w:rsidRPr="00770DFB" w:rsidP="00770DFB">
      <w:pPr>
        <w:pStyle w:val="ListBullet"/>
      </w:pPr>
      <w:r w:rsidRPr="00770DFB">
        <w:t>identify taxation issues in relation to first home saver accounts</w:t>
      </w:r>
    </w:p>
    <w:p w:rsidR="00000000" w:rsidRPr="00770DFB" w:rsidP="00770DFB">
      <w:pPr>
        <w:pStyle w:val="ListBullet"/>
      </w:pPr>
      <w:r w:rsidRPr="00770DFB">
        <w:t>explain advisory functions including:</w:t>
      </w:r>
    </w:p>
    <w:p w:rsidR="00000000" w:rsidRPr="00770DFB" w:rsidP="00770DFB">
      <w:pPr>
        <w:pStyle w:val="ListBullet2"/>
      </w:pPr>
      <w:r w:rsidRPr="00770DFB">
        <w:t>role of the representative or adviser</w:t>
      </w:r>
    </w:p>
    <w:p w:rsidR="00000000" w:rsidRPr="00770DFB" w:rsidP="00770DFB">
      <w:pPr>
        <w:pStyle w:val="ListBullet2"/>
      </w:pPr>
      <w:r w:rsidRPr="00770DFB">
        <w:t>participants i</w:t>
      </w:r>
      <w:r w:rsidRPr="00770DFB">
        <w:t>n the advisory services market</w:t>
      </w:r>
    </w:p>
    <w:p w:rsidR="00000000" w:rsidRPr="00770DFB" w:rsidP="00770DFB">
      <w:pPr>
        <w:pStyle w:val="ListBullet2"/>
      </w:pPr>
      <w:r w:rsidRPr="00770DFB">
        <w:t>range of services provided</w:t>
      </w:r>
    </w:p>
    <w:p w:rsidR="00000000" w:rsidRPr="00770DFB" w:rsidP="00770DFB">
      <w:pPr>
        <w:pStyle w:val="ListBullet2"/>
      </w:pPr>
      <w:r w:rsidRPr="00770DFB">
        <w:t>profile and financial information of the client</w:t>
      </w:r>
    </w:p>
    <w:p w:rsidR="00000000" w:rsidRPr="00770DFB" w:rsidP="00770DFB">
      <w:pPr>
        <w:pStyle w:val="ListBullet2"/>
      </w:pPr>
      <w:r w:rsidRPr="00770DFB">
        <w:t>appropriateness of a risk assessment</w:t>
      </w:r>
    </w:p>
    <w:p w:rsidR="00000000" w:rsidRPr="00770DFB" w:rsidP="00770DFB">
      <w:pPr>
        <w:pStyle w:val="ListBullet"/>
      </w:pPr>
      <w:r w:rsidRPr="00770DFB">
        <w:t>explain first home saver account financial products including:</w:t>
      </w:r>
    </w:p>
    <w:p w:rsidR="00000000" w:rsidRPr="00770DFB" w:rsidP="00770DFB">
      <w:pPr>
        <w:pStyle w:val="ListBullet2"/>
      </w:pPr>
      <w:r w:rsidRPr="00770DFB">
        <w:t>general definition</w:t>
      </w:r>
    </w:p>
    <w:p w:rsidR="00000000" w:rsidRPr="00770DFB" w:rsidP="00770DFB">
      <w:pPr>
        <w:pStyle w:val="ListBullet2"/>
      </w:pPr>
      <w:r w:rsidRPr="00770DFB">
        <w:t>age limitations</w:t>
      </w:r>
    </w:p>
    <w:p w:rsidR="00000000" w:rsidRPr="00770DFB" w:rsidP="00770DFB">
      <w:pPr>
        <w:pStyle w:val="ListBullet2"/>
      </w:pPr>
      <w:r w:rsidRPr="00770DFB">
        <w:t>cooling-off period</w:t>
      </w:r>
    </w:p>
    <w:p w:rsidR="00000000" w:rsidRPr="00770DFB" w:rsidP="00770DFB">
      <w:pPr>
        <w:pStyle w:val="ListBullet2"/>
      </w:pPr>
      <w:r w:rsidRPr="00770DFB">
        <w:t>interest paid – institution and government</w:t>
      </w:r>
    </w:p>
    <w:p w:rsidR="00000000" w:rsidRPr="00770DFB" w:rsidP="00770DFB">
      <w:pPr>
        <w:pStyle w:val="ListBullet2"/>
      </w:pPr>
      <w:r w:rsidRPr="00770DFB">
        <w:t>fees and charges</w:t>
      </w:r>
    </w:p>
    <w:p w:rsidR="00000000" w:rsidRPr="00770DFB" w:rsidP="00770DFB">
      <w:pPr>
        <w:pStyle w:val="ListBullet2"/>
      </w:pPr>
      <w:r w:rsidRPr="00770DFB">
        <w:t>non-cash payments:</w:t>
      </w:r>
    </w:p>
    <w:p w:rsidR="00000000" w:rsidRPr="00770DFB" w:rsidP="00770DFB">
      <w:pPr>
        <w:pStyle w:val="ListBullet3"/>
      </w:pPr>
      <w:r w:rsidRPr="00770DFB">
        <w:t>direct debit</w:t>
      </w:r>
    </w:p>
    <w:p w:rsidR="00000000" w:rsidRPr="00770DFB" w:rsidP="00770DFB">
      <w:pPr>
        <w:pStyle w:val="ListBullet3"/>
      </w:pPr>
      <w:r w:rsidRPr="00770DFB">
        <w:t>external funds transfer (EFT)</w:t>
      </w:r>
    </w:p>
    <w:p w:rsidR="00000000" w:rsidRPr="00770DFB" w:rsidP="00770DFB">
      <w:pPr>
        <w:pStyle w:val="ListBullet3"/>
      </w:pPr>
      <w:r w:rsidRPr="00770DFB">
        <w:t>auto transfer</w:t>
      </w:r>
    </w:p>
    <w:p w:rsidR="00000000" w:rsidRPr="00770DFB" w:rsidP="00770DFB">
      <w:pPr>
        <w:pStyle w:val="ListBullet2"/>
      </w:pPr>
      <w:r w:rsidRPr="00770DFB">
        <w:t>withdrawal limits and requirements</w:t>
      </w:r>
    </w:p>
    <w:p w:rsidR="00000000" w:rsidRPr="00770DFB" w:rsidP="00770DFB">
      <w:pPr>
        <w:pStyle w:val="ListBullet2"/>
      </w:pPr>
      <w:r w:rsidRPr="00770DFB">
        <w:t>specific inclusions and exclusions</w:t>
      </w:r>
    </w:p>
    <w:p w:rsidR="00280FAC" w:rsidP="00770DFB">
      <w:pPr>
        <w:pStyle w:val="ListBullet2"/>
      </w:pPr>
      <w:r w:rsidRPr="00770DFB">
        <w:t>types of financial risk.</w:t>
      </w:r>
    </w:p>
    <w:p w:rsidR="00280FAC" w:rsidP="00770DFB">
      <w:pPr>
        <w:pStyle w:val="ListBullet2"/>
      </w:pPr>
    </w:p>
    <w:p w:rsidR="00000000" w:rsidRPr="00770DFB" w:rsidP="00770DFB">
      <w:pPr>
        <w:pStyle w:val="Heading1"/>
      </w:pPr>
      <w:bookmarkStart w:id="4" w:name="O_671945"/>
      <w:bookmarkEnd w:id="4"/>
      <w:r w:rsidRPr="00770DFB">
        <w:t>Assessment Conditions</w:t>
      </w:r>
    </w:p>
    <w:p w:rsidR="00000000" w:rsidRPr="00770DFB" w:rsidP="00280FAC">
      <w:pPr>
        <w:pStyle w:val="BodyText"/>
      </w:pPr>
      <w:r w:rsidRPr="00770DFB">
        <w:t>Assessment must be conducted in a safe environment where evidence gathered demonstrates consistent performance of typical activities experienced in the financial services and products advice field of work and include a</w:t>
      </w:r>
      <w:r w:rsidRPr="00770DFB">
        <w:t>ccess to:</w:t>
      </w:r>
    </w:p>
    <w:p w:rsidR="00000000" w:rsidRPr="00770DFB" w:rsidP="00770DFB">
      <w:pPr>
        <w:pStyle w:val="ListBullet"/>
      </w:pPr>
      <w:r w:rsidRPr="00770DFB">
        <w:t>common office equipment, technology, software and consumables</w:t>
      </w:r>
    </w:p>
    <w:p w:rsidR="00000000" w:rsidRPr="00770DFB" w:rsidP="00770DFB">
      <w:pPr>
        <w:pStyle w:val="ListBullet"/>
      </w:pPr>
      <w:r w:rsidRPr="00770DFB">
        <w:t>first home saver account deposit product information.</w:t>
      </w:r>
    </w:p>
    <w:p w:rsidR="00000000" w:rsidRPr="00770DFB" w:rsidP="00770DFB">
      <w:pPr>
        <w:pStyle w:val="BodyText"/>
      </w:pPr>
    </w:p>
    <w:p w:rsidR="00000000" w:rsidRPr="00770DFB" w:rsidP="00280FAC">
      <w:pPr>
        <w:pStyle w:val="BodyText"/>
      </w:pPr>
      <w:r w:rsidRPr="00770DFB">
        <w:t xml:space="preserve">Assessors must satisfy NVR/AQTF assessor requirements </w:t>
      </w:r>
    </w:p>
    <w:p w:rsidR="00000000" w:rsidRPr="00770DFB" w:rsidP="00770DFB">
      <w:pPr>
        <w:pStyle w:val="Heading1"/>
      </w:pPr>
      <w:bookmarkStart w:id="5" w:name="O_671948"/>
      <w:bookmarkEnd w:id="5"/>
      <w:r w:rsidRPr="00770DFB">
        <w:t>Links</w:t>
      </w:r>
    </w:p>
    <w:p w:rsidR="00000000" w:rsidRPr="00770DFB" w:rsidP="00280FAC">
      <w:pPr>
        <w:pStyle w:val="BodyText"/>
      </w:pPr>
      <w:r w:rsidRPr="00770D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76C3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70DFB" w:rsidP="00770DFB"/>
    <w:sectPr w:rsidSect="00770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FB" w:rsidRPr="00280FAC" w:rsidP="00280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AC" w:rsidP="00770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FAC" w:rsidP="00770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0FAC" w:rsidP="00770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DFB" w:rsidRPr="00280FAC" w:rsidP="00280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AC" w:rsidRPr="002D2AF8" w:rsidP="00770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FNSASIC303 Provide advice on first home saver account deposit products and non-cash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80FAC" w:rsidP="00770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EEC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96C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9E7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DFB"/>
  </w:style>
  <w:style w:type="character" w:customStyle="1" w:styleId="Heading1Char">
    <w:name w:val="Heading 1 Char"/>
    <w:basedOn w:val="DefaultParagraphFont"/>
    <w:link w:val="Heading1"/>
    <w:rsid w:val="00770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D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DFB"/>
    <w:rPr>
      <w:b/>
      <w:spacing w:val="0"/>
    </w:rPr>
  </w:style>
  <w:style w:type="paragraph" w:styleId="ListBullet2">
    <w:name w:val="List Bullet 2"/>
    <w:basedOn w:val="List2"/>
    <w:rsid w:val="00770D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0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0D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0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DFB"/>
    <w:rPr>
      <w:i/>
    </w:rPr>
  </w:style>
  <w:style w:type="paragraph" w:styleId="Caption">
    <w:name w:val="caption"/>
    <w:basedOn w:val="BodyText"/>
    <w:next w:val="Normal"/>
    <w:qFormat/>
    <w:rsid w:val="00770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DFB"/>
  </w:style>
  <w:style w:type="paragraph" w:styleId="TableofFigures">
    <w:name w:val="table of figures"/>
    <w:basedOn w:val="Normal"/>
    <w:next w:val="Normal"/>
    <w:semiHidden/>
    <w:rsid w:val="00770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D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0DFB"/>
    <w:rPr>
      <w:rFonts w:ascii="Wingdings" w:hAnsi="Wingdings"/>
    </w:rPr>
  </w:style>
  <w:style w:type="paragraph" w:customStyle="1" w:styleId="TableHeading">
    <w:name w:val="Table Heading"/>
    <w:basedOn w:val="HeadingBase"/>
    <w:rsid w:val="00770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DFB"/>
    <w:rPr>
      <w:color w:val="0033CC"/>
      <w:u w:val="none"/>
    </w:rPr>
  </w:style>
  <w:style w:type="paragraph" w:customStyle="1" w:styleId="BodyTextRight">
    <w:name w:val="Body Text Right"/>
    <w:basedOn w:val="BodyText"/>
    <w:rsid w:val="00770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D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DFB"/>
    <w:rPr>
      <w:sz w:val="32"/>
    </w:rPr>
  </w:style>
  <w:style w:type="paragraph" w:customStyle="1" w:styleId="HeadingProcedure">
    <w:name w:val="Heading Procedure"/>
    <w:basedOn w:val="HeadingBase"/>
    <w:next w:val="Normal"/>
    <w:rsid w:val="00770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DFB"/>
    <w:pPr>
      <w:spacing w:before="60" w:after="60"/>
    </w:pPr>
  </w:style>
  <w:style w:type="paragraph" w:styleId="ListContinue">
    <w:name w:val="List Continue"/>
    <w:basedOn w:val="List"/>
    <w:rsid w:val="00770DFB"/>
    <w:pPr>
      <w:ind w:firstLine="0"/>
    </w:pPr>
  </w:style>
  <w:style w:type="paragraph" w:customStyle="1" w:styleId="ListNote">
    <w:name w:val="List Note"/>
    <w:basedOn w:val="List"/>
    <w:rsid w:val="00770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DFB"/>
    <w:rPr>
      <w:rFonts w:ascii="Courier New" w:hAnsi="Courier New"/>
    </w:rPr>
  </w:style>
  <w:style w:type="paragraph" w:customStyle="1" w:styleId="NoteBullet">
    <w:name w:val="Note Bullet"/>
    <w:basedOn w:val="Note"/>
    <w:rsid w:val="00770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D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0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DFB"/>
    <w:rPr>
      <w:b/>
      <w:smallCaps/>
    </w:rPr>
  </w:style>
  <w:style w:type="paragraph" w:customStyle="1" w:styleId="TableListNumber">
    <w:name w:val="Table List Number"/>
    <w:basedOn w:val="ListNumber"/>
    <w:rsid w:val="00770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DFB"/>
    <w:pPr>
      <w:numPr>
        <w:numId w:val="10"/>
      </w:numPr>
    </w:pPr>
  </w:style>
  <w:style w:type="paragraph" w:customStyle="1" w:styleId="ListAlpha2">
    <w:name w:val="List Alpha 2"/>
    <w:basedOn w:val="List2"/>
    <w:rsid w:val="00770DFB"/>
    <w:pPr>
      <w:numPr>
        <w:numId w:val="9"/>
      </w:numPr>
    </w:pPr>
  </w:style>
  <w:style w:type="paragraph" w:styleId="List2">
    <w:name w:val="List 2"/>
    <w:basedOn w:val="BodyText"/>
    <w:rsid w:val="00770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D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0D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0DFB"/>
    <w:pPr>
      <w:numPr>
        <w:numId w:val="5"/>
      </w:numPr>
    </w:pPr>
  </w:style>
  <w:style w:type="paragraph" w:styleId="ListContinue2">
    <w:name w:val="List Continue 2"/>
    <w:basedOn w:val="List2"/>
    <w:rsid w:val="00770DFB"/>
    <w:pPr>
      <w:ind w:firstLine="0"/>
    </w:pPr>
  </w:style>
  <w:style w:type="paragraph" w:styleId="ListContinue3">
    <w:name w:val="List Continue 3"/>
    <w:basedOn w:val="List3"/>
    <w:rsid w:val="00770DFB"/>
    <w:pPr>
      <w:ind w:left="1021" w:firstLine="0"/>
    </w:pPr>
  </w:style>
  <w:style w:type="paragraph" w:styleId="ListContinue4">
    <w:name w:val="List Continue 4"/>
    <w:basedOn w:val="List4"/>
    <w:rsid w:val="00770DFB"/>
    <w:pPr>
      <w:ind w:firstLine="0"/>
    </w:pPr>
  </w:style>
  <w:style w:type="paragraph" w:styleId="ListContinue5">
    <w:name w:val="List Continue 5"/>
    <w:basedOn w:val="List5"/>
    <w:rsid w:val="00770DFB"/>
    <w:pPr>
      <w:ind w:firstLine="0"/>
    </w:pPr>
  </w:style>
  <w:style w:type="paragraph" w:styleId="ListNumber3">
    <w:name w:val="List Number 3"/>
    <w:basedOn w:val="List3"/>
    <w:rsid w:val="00770DFB"/>
    <w:pPr>
      <w:numPr>
        <w:numId w:val="6"/>
      </w:numPr>
    </w:pPr>
  </w:style>
  <w:style w:type="paragraph" w:styleId="ListNumber4">
    <w:name w:val="List Number 4"/>
    <w:basedOn w:val="List4"/>
    <w:rsid w:val="00770DFB"/>
    <w:pPr>
      <w:numPr>
        <w:numId w:val="7"/>
      </w:numPr>
    </w:pPr>
  </w:style>
  <w:style w:type="paragraph" w:styleId="ListNumber5">
    <w:name w:val="List Number 5"/>
    <w:basedOn w:val="List5"/>
    <w:rsid w:val="00770DFB"/>
    <w:pPr>
      <w:numPr>
        <w:numId w:val="8"/>
      </w:numPr>
    </w:pPr>
  </w:style>
  <w:style w:type="paragraph" w:styleId="BlockText">
    <w:name w:val="Block Text"/>
    <w:basedOn w:val="Normal"/>
    <w:rsid w:val="00770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DFB"/>
    <w:rPr>
      <w:sz w:val="16"/>
      <w:vertAlign w:val="superscript"/>
    </w:rPr>
  </w:style>
  <w:style w:type="character" w:customStyle="1" w:styleId="Symbols">
    <w:name w:val="Symbols"/>
    <w:basedOn w:val="DefaultParagraphFont"/>
    <w:rsid w:val="00770DFB"/>
    <w:rPr>
      <w:rFonts w:ascii="Symbol" w:hAnsi="Symbol"/>
    </w:rPr>
  </w:style>
  <w:style w:type="character" w:customStyle="1" w:styleId="MenuOptions">
    <w:name w:val="Menu Options"/>
    <w:basedOn w:val="DefaultParagraphFont"/>
    <w:rsid w:val="00770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DFB"/>
    <w:rPr>
      <w:b/>
    </w:rPr>
  </w:style>
  <w:style w:type="character" w:customStyle="1" w:styleId="Underlined">
    <w:name w:val="Underlined"/>
    <w:basedOn w:val="DefaultParagraphFont"/>
    <w:rsid w:val="00770DFB"/>
    <w:rPr>
      <w:u w:val="single"/>
    </w:rPr>
  </w:style>
  <w:style w:type="paragraph" w:customStyle="1" w:styleId="TableBodyTextRight">
    <w:name w:val="Table Body Text Right"/>
    <w:basedOn w:val="TableBodyText"/>
    <w:rsid w:val="00770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DFB"/>
    <w:rPr>
      <w:sz w:val="18"/>
    </w:rPr>
  </w:style>
  <w:style w:type="paragraph" w:customStyle="1" w:styleId="BodySmallRight">
    <w:name w:val="Body Small Right"/>
    <w:basedOn w:val="BodyTextRight"/>
    <w:rsid w:val="00770DFB"/>
    <w:rPr>
      <w:sz w:val="18"/>
      <w:szCs w:val="18"/>
    </w:rPr>
  </w:style>
  <w:style w:type="paragraph" w:customStyle="1" w:styleId="MarginEdition">
    <w:name w:val="Margin Edition"/>
    <w:basedOn w:val="MarginNote"/>
    <w:rsid w:val="00770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DFB"/>
    <w:rPr>
      <w:sz w:val="2"/>
      <w:szCs w:val="2"/>
    </w:rPr>
  </w:style>
  <w:style w:type="character" w:customStyle="1" w:styleId="Small">
    <w:name w:val="Small"/>
    <w:basedOn w:val="DefaultParagraphFont"/>
    <w:rsid w:val="00770DFB"/>
    <w:rPr>
      <w:sz w:val="16"/>
    </w:rPr>
  </w:style>
  <w:style w:type="paragraph" w:customStyle="1" w:styleId="WideTable">
    <w:name w:val="Wide Table"/>
    <w:basedOn w:val="Normal"/>
    <w:rsid w:val="00770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DFB"/>
  </w:style>
  <w:style w:type="paragraph" w:styleId="Quote">
    <w:name w:val="Quote"/>
    <w:basedOn w:val="Heading1"/>
    <w:link w:val="QuoteChar"/>
    <w:qFormat/>
    <w:rsid w:val="00770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DFB"/>
    <w:pPr>
      <w:pageBreakBefore/>
    </w:pPr>
  </w:style>
  <w:style w:type="paragraph" w:customStyle="1" w:styleId="Border">
    <w:name w:val="Border"/>
    <w:basedOn w:val="Normal"/>
    <w:qFormat/>
    <w:rsid w:val="00770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DFB"/>
    <w:rPr>
      <w:u w:val="single"/>
    </w:rPr>
  </w:style>
  <w:style w:type="character" w:customStyle="1" w:styleId="BoldandItalics">
    <w:name w:val="Bold and Italics"/>
    <w:qFormat/>
    <w:rsid w:val="00770DFB"/>
    <w:rPr>
      <w:b/>
      <w:i/>
      <w:u w:val="none"/>
    </w:rPr>
  </w:style>
  <w:style w:type="paragraph" w:styleId="BalloonText">
    <w:name w:val="Balloon Text"/>
    <w:basedOn w:val="Normal"/>
    <w:link w:val="BalloonTextChar"/>
    <w:rsid w:val="00770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DFB"/>
    <w:pPr>
      <w:spacing w:before="0" w:after="0"/>
    </w:pPr>
  </w:style>
  <w:style w:type="paragraph" w:customStyle="1" w:styleId="BodyTextBold">
    <w:name w:val="Body Text Bold"/>
    <w:basedOn w:val="BodyText"/>
    <w:qFormat/>
    <w:rsid w:val="00770DFB"/>
    <w:rPr>
      <w:b/>
    </w:rPr>
  </w:style>
  <w:style w:type="character" w:styleId="Hyperlink">
    <w:name w:val="Hyperlink"/>
    <w:basedOn w:val="DefaultParagraphFont"/>
    <w:uiPriority w:val="99"/>
    <w:unhideWhenUsed/>
    <w:rsid w:val="00280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3050</Characters>
  <Application>Microsoft Office Word</Application>
  <DocSecurity>0</DocSecurity>
  <Lines>89</Lines>
  <Paragraphs>71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FNSASIC303 Provide advice on first home saver account deposit products and non-cash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2022-01-27T02:06:00Z</dcterms:created>
  <dcterms:modified xsi:type="dcterms:W3CDTF">2022-01-27T02:06:00Z</dcterms:modified>
</cp:coreProperties>
</file>