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788" w:rsidP="004B2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FNSASIC302 Develop, present and negotiate client solutions</w:t>
      </w:r>
      <w:r>
        <w:fldChar w:fldCharType="end"/>
      </w:r>
    </w:p>
    <w:p w:rsidR="004B2788" w:rsidP="004B2788">
      <w:pPr>
        <w:pStyle w:val="Version"/>
        <w:sectPr w:rsidSect="00B329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905" w:rsidP="00B32905">
      <w:pPr>
        <w:pStyle w:val="SuperHeading"/>
      </w:pPr>
      <w:r w:rsidRPr="00B32905">
        <w:t>Assessment Requirements for FNSASIC302 Develop, present and negotiate client solutions</w:t>
      </w:r>
    </w:p>
    <w:p w:rsidR="00000000" w:rsidRPr="00B32905" w:rsidP="00B32905">
      <w:pPr>
        <w:pStyle w:val="Heading1"/>
      </w:pPr>
      <w:bookmarkStart w:id="1" w:name="O_671904"/>
      <w:bookmarkEnd w:id="1"/>
      <w:r w:rsidRPr="00B329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3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905" w:rsidP="00B32905">
            <w:pPr>
              <w:pStyle w:val="BodyText"/>
            </w:pPr>
            <w:r w:rsidRPr="00B3290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905">
            <w:pPr>
              <w:pStyle w:val="BodyText"/>
              <w:rPr>
                <w:lang w:val="en-NZ"/>
              </w:rPr>
            </w:pPr>
            <w:r w:rsidRPr="00B32905">
              <w:rPr>
                <w:rStyle w:val="SpecialBold"/>
              </w:rPr>
              <w:t>Comments</w:t>
            </w:r>
          </w:p>
        </w:tc>
      </w:tr>
      <w:tr w:rsidTr="00B3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905">
            <w:pPr>
              <w:pStyle w:val="BodyText"/>
              <w:rPr>
                <w:lang w:val="en-NZ"/>
              </w:rPr>
            </w:pPr>
            <w:r w:rsidRPr="00B3290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905" w:rsidP="00B32905">
            <w:pPr>
              <w:pStyle w:val="BodyText"/>
            </w:pPr>
            <w:r w:rsidRPr="00B32905">
              <w:t>This version first released with FNS Financial Services Training Package Version 1.0.</w:t>
            </w:r>
          </w:p>
        </w:tc>
      </w:tr>
    </w:tbl>
    <w:p w:rsidR="00000000" w:rsidRPr="00B32905" w:rsidP="00B32905">
      <w:pPr>
        <w:pStyle w:val="BodyText"/>
      </w:pPr>
    </w:p>
    <w:p w:rsidR="00000000" w:rsidRPr="00B32905" w:rsidP="00B32905">
      <w:pPr>
        <w:pStyle w:val="AllowPageBreak"/>
      </w:pPr>
    </w:p>
    <w:p w:rsidR="00000000" w:rsidRPr="00B32905" w:rsidP="00B32905">
      <w:pPr>
        <w:pStyle w:val="Heading1"/>
      </w:pPr>
      <w:bookmarkStart w:id="2" w:name="O_671905"/>
      <w:bookmarkEnd w:id="2"/>
      <w:r w:rsidRPr="00B32905">
        <w:t>Performance Evidence</w:t>
      </w:r>
    </w:p>
    <w:p w:rsidR="00000000" w:rsidRPr="00B32905" w:rsidP="004B2788">
      <w:pPr>
        <w:pStyle w:val="BodyText"/>
      </w:pPr>
      <w:r w:rsidRPr="00B32905">
        <w:t>Evidence of the ability to:</w:t>
      </w:r>
    </w:p>
    <w:p w:rsidR="00000000" w:rsidRPr="00B32905" w:rsidP="00B32905">
      <w:pPr>
        <w:pStyle w:val="ListBullet"/>
      </w:pPr>
      <w:r w:rsidRPr="00B32905">
        <w:t>interpret and comply with industry regulations and codes of practice including, for insurance products, the required approval or authority to accept the transfer of risk</w:t>
      </w:r>
    </w:p>
    <w:p w:rsidR="00000000" w:rsidRPr="00B32905" w:rsidP="00B32905">
      <w:pPr>
        <w:pStyle w:val="ListBullet"/>
      </w:pPr>
      <w:r w:rsidRPr="00B32905">
        <w:t>explain the characteristics,</w:t>
      </w:r>
      <w:r w:rsidRPr="00B32905">
        <w:t xml:space="preserve"> benefits and impacts of financial products and services to clients</w:t>
      </w:r>
    </w:p>
    <w:p w:rsidR="00000000" w:rsidRPr="00B32905" w:rsidP="00B32905">
      <w:pPr>
        <w:pStyle w:val="ListBullet"/>
      </w:pPr>
      <w:r w:rsidRPr="00B32905">
        <w:t>present appropriate financial products and services to clients and successfully negotiate a plan, policy or transaction.</w:t>
      </w:r>
    </w:p>
    <w:p w:rsidR="00000000" w:rsidRPr="00B32905" w:rsidP="00B32905">
      <w:pPr>
        <w:pStyle w:val="BodyText"/>
      </w:pPr>
    </w:p>
    <w:p w:rsidR="004B2788" w:rsidP="004B2788">
      <w:pPr>
        <w:pStyle w:val="BodyText"/>
      </w:pPr>
      <w:r w:rsidRPr="00B32905">
        <w:t>Note: If a specific volume or frequency is not stated, then evidence must be provided at least once.</w:t>
      </w:r>
    </w:p>
    <w:p w:rsidR="00000000" w:rsidRPr="00B32905" w:rsidP="00B32905">
      <w:pPr>
        <w:pStyle w:val="Heading1"/>
      </w:pPr>
      <w:bookmarkStart w:id="3" w:name="O_671906"/>
      <w:bookmarkEnd w:id="3"/>
      <w:r w:rsidRPr="00B32905">
        <w:t>Knowledge Evidence</w:t>
      </w:r>
    </w:p>
    <w:p w:rsidR="00000000" w:rsidRPr="00B32905" w:rsidP="004B2788">
      <w:pPr>
        <w:pStyle w:val="BodyText"/>
      </w:pPr>
      <w:r w:rsidRPr="00B32905">
        <w:t>To complete the unit requirements safely and effectively, the individual must satisfy the knowledge requirements relev</w:t>
      </w:r>
      <w:r w:rsidRPr="00B32905">
        <w:t>ant to the products and activities in which advice is given.</w:t>
      </w:r>
    </w:p>
    <w:p w:rsidR="00000000" w:rsidRPr="00B32905" w:rsidP="004B2788">
      <w:pPr>
        <w:pStyle w:val="BodyText"/>
      </w:pPr>
      <w:r w:rsidRPr="00B32905">
        <w:t>For general insurance, deposit products and non-cash payments and relevant first home saver account products the individual must:</w:t>
      </w:r>
    </w:p>
    <w:p w:rsidR="00000000" w:rsidRPr="00B32905" w:rsidP="00B32905">
      <w:pPr>
        <w:pStyle w:val="ListBullet"/>
      </w:pPr>
      <w:r w:rsidRPr="00B32905">
        <w:t>explain the legal environment including disclosure and complian</w:t>
      </w:r>
      <w:r w:rsidRPr="00B32905">
        <w:t>ce covering:</w:t>
      </w:r>
    </w:p>
    <w:p w:rsidR="00000000" w:rsidRPr="00B32905" w:rsidP="00B32905">
      <w:pPr>
        <w:pStyle w:val="ListBullet2"/>
      </w:pPr>
      <w:r w:rsidRPr="00B32905">
        <w:t>role of the representative or adviser</w:t>
      </w:r>
    </w:p>
    <w:p w:rsidR="00000000" w:rsidRPr="00B32905" w:rsidP="00B32905">
      <w:pPr>
        <w:pStyle w:val="ListBullet2"/>
      </w:pPr>
      <w:r w:rsidRPr="00B32905">
        <w:t>relevant legal principles including the Corporations Act, Financial Services Reform Act (FSRA), Competition and Consumer Act, Insurance Contracts Act and Australian Securities and Investments Commission (</w:t>
      </w:r>
      <w:r w:rsidRPr="00B32905">
        <w:t>ASIC) Act</w:t>
      </w:r>
    </w:p>
    <w:p w:rsidR="00000000" w:rsidRPr="00B32905" w:rsidP="00B32905">
      <w:pPr>
        <w:pStyle w:val="ListBullet2"/>
      </w:pPr>
      <w:r w:rsidRPr="00B32905">
        <w:t>relationship between ethics and regulatory requirements including good faith, utmost good faith, full disclosure of remuneration and fees, and any other conflicts of interest which may influence the adviser’s recommendation</w:t>
      </w:r>
    </w:p>
    <w:p w:rsidR="00000000" w:rsidRPr="00B32905" w:rsidP="00B32905">
      <w:pPr>
        <w:pStyle w:val="ListBullet"/>
      </w:pPr>
      <w:r w:rsidRPr="00B32905">
        <w:t>name relevant industr</w:t>
      </w:r>
      <w:r w:rsidRPr="00B32905">
        <w:t>y codes of practice and conduct</w:t>
      </w:r>
    </w:p>
    <w:p w:rsidR="00000000" w:rsidRPr="00B32905" w:rsidP="00B32905">
      <w:pPr>
        <w:pStyle w:val="ListBullet"/>
      </w:pPr>
      <w:r w:rsidRPr="00B32905">
        <w:t>identify complaints resolution procedures (internal and external)</w:t>
      </w:r>
    </w:p>
    <w:p w:rsidR="00000000" w:rsidRPr="00B32905" w:rsidP="00B32905">
      <w:pPr>
        <w:pStyle w:val="ListBullet"/>
      </w:pPr>
      <w:r w:rsidRPr="00B32905">
        <w:t>outline relevant ASIC regulatory guidelines.</w:t>
      </w:r>
    </w:p>
    <w:p w:rsidR="00000000" w:rsidRPr="00B32905" w:rsidP="00B32905">
      <w:pPr>
        <w:pStyle w:val="BodyText"/>
      </w:pPr>
    </w:p>
    <w:p w:rsidR="00000000" w:rsidRPr="00B32905" w:rsidP="004B2788">
      <w:pPr>
        <w:pStyle w:val="BodyText"/>
      </w:pPr>
      <w:r w:rsidRPr="00B32905">
        <w:t>For general insurance the individual must:</w:t>
      </w:r>
    </w:p>
    <w:p w:rsidR="00000000" w:rsidRPr="00B32905" w:rsidP="00B32905">
      <w:pPr>
        <w:pStyle w:val="ListBullet"/>
      </w:pPr>
      <w:r w:rsidRPr="00B32905">
        <w:t>summarise the chara</w:t>
      </w:r>
      <w:r w:rsidRPr="00B32905">
        <w:t>cteristics and participants of Australian insurance markets and the roles played by intermediaries, and identify insurance products including:</w:t>
      </w:r>
    </w:p>
    <w:p w:rsidR="00000000" w:rsidRPr="00B32905" w:rsidP="00B32905">
      <w:pPr>
        <w:pStyle w:val="ListBullet2"/>
      </w:pPr>
      <w:r w:rsidRPr="00B32905">
        <w:t>definition of an insurance product</w:t>
      </w:r>
    </w:p>
    <w:p w:rsidR="00000000" w:rsidRPr="00B32905" w:rsidP="00B32905">
      <w:pPr>
        <w:pStyle w:val="ListBullet2"/>
      </w:pPr>
      <w:r w:rsidRPr="00B32905">
        <w:t>conditions, exclusions and level of coverage of risk transfer products</w:t>
      </w:r>
    </w:p>
    <w:p w:rsidR="00000000" w:rsidRPr="00B32905" w:rsidP="00B32905">
      <w:pPr>
        <w:pStyle w:val="ListBullet2"/>
      </w:pPr>
      <w:r w:rsidRPr="00B32905">
        <w:t xml:space="preserve">types </w:t>
      </w:r>
      <w:r w:rsidRPr="00B32905">
        <w:t>of insurance products</w:t>
      </w:r>
    </w:p>
    <w:p w:rsidR="00000000" w:rsidRPr="00B32905" w:rsidP="00B32905">
      <w:pPr>
        <w:pStyle w:val="ListBullet2"/>
      </w:pPr>
      <w:r w:rsidRPr="00B32905">
        <w:t>pricing of risk products</w:t>
      </w:r>
    </w:p>
    <w:p w:rsidR="00000000" w:rsidRPr="00B32905" w:rsidP="00B32905">
      <w:pPr>
        <w:pStyle w:val="ListBullet"/>
      </w:pPr>
      <w:r w:rsidRPr="00B32905">
        <w:t xml:space="preserve">identify taxation issues relating to insurance products </w:t>
      </w:r>
    </w:p>
    <w:p w:rsidR="00000000" w:rsidRPr="00B32905" w:rsidP="00B32905">
      <w:pPr>
        <w:pStyle w:val="ListBullet"/>
      </w:pPr>
      <w:r w:rsidRPr="00B32905">
        <w:t>explain advisory functions including:</w:t>
      </w:r>
    </w:p>
    <w:p w:rsidR="00000000" w:rsidRPr="00B32905" w:rsidP="00B32905">
      <w:pPr>
        <w:pStyle w:val="ListBullet"/>
      </w:pPr>
      <w:r w:rsidRPr="00B32905">
        <w:t>role of the representative, broker or adviser</w:t>
      </w:r>
    </w:p>
    <w:p w:rsidR="00000000" w:rsidRPr="00B32905" w:rsidP="00B32905">
      <w:pPr>
        <w:pStyle w:val="ListBullet2"/>
      </w:pPr>
      <w:r w:rsidRPr="00B32905">
        <w:t>participants in the insurance advisory services market</w:t>
      </w:r>
    </w:p>
    <w:p w:rsidR="00000000" w:rsidRPr="00B32905" w:rsidP="00B32905">
      <w:pPr>
        <w:pStyle w:val="ListBullet2"/>
      </w:pPr>
      <w:r w:rsidRPr="00B32905">
        <w:t>range of se</w:t>
      </w:r>
      <w:r w:rsidRPr="00B32905">
        <w:t xml:space="preserve">rvices provided </w:t>
      </w:r>
    </w:p>
    <w:p w:rsidR="00000000" w:rsidRPr="00B32905" w:rsidP="00B32905">
      <w:pPr>
        <w:pStyle w:val="ListBullet2"/>
      </w:pPr>
      <w:r w:rsidRPr="00B32905">
        <w:t>profile and financial information of the client</w:t>
      </w:r>
    </w:p>
    <w:p w:rsidR="00000000" w:rsidRPr="00B32905" w:rsidP="00B32905">
      <w:pPr>
        <w:pStyle w:val="ListBullet2"/>
      </w:pPr>
      <w:r w:rsidRPr="00B32905">
        <w:t>appropriateness of a risk assessment</w:t>
      </w:r>
    </w:p>
    <w:p w:rsidR="00000000" w:rsidRPr="00B32905" w:rsidP="00B32905">
      <w:pPr>
        <w:pStyle w:val="ListBullet"/>
      </w:pPr>
      <w:r w:rsidRPr="00B32905">
        <w:t>summarise the specific product knowledge for the general insurance products in which advice is given including:</w:t>
      </w:r>
    </w:p>
    <w:p w:rsidR="00000000" w:rsidRPr="00B32905" w:rsidP="00B32905">
      <w:pPr>
        <w:pStyle w:val="ListBullet2"/>
      </w:pPr>
      <w:r w:rsidRPr="00B32905">
        <w:t>standard cover (and deviations)</w:t>
      </w:r>
    </w:p>
    <w:p w:rsidR="00000000" w:rsidRPr="00B32905" w:rsidP="00B32905">
      <w:pPr>
        <w:pStyle w:val="ListBullet2"/>
      </w:pPr>
      <w:r w:rsidRPr="00B32905">
        <w:t>policy wordings</w:t>
      </w:r>
    </w:p>
    <w:p w:rsidR="00000000" w:rsidRPr="00B32905" w:rsidP="00B32905">
      <w:pPr>
        <w:pStyle w:val="ListBullet2"/>
      </w:pPr>
      <w:r w:rsidRPr="00B32905">
        <w:t>taxes and charges</w:t>
      </w:r>
    </w:p>
    <w:p w:rsidR="00000000" w:rsidRPr="00B32905" w:rsidP="00B32905">
      <w:pPr>
        <w:pStyle w:val="ListBullet2"/>
      </w:pPr>
      <w:r w:rsidRPr="00B32905">
        <w:t>insurance claims</w:t>
      </w:r>
    </w:p>
    <w:p w:rsidR="00000000" w:rsidRPr="00B32905" w:rsidP="00B32905">
      <w:pPr>
        <w:pStyle w:val="ListBullet2"/>
      </w:pPr>
      <w:r w:rsidRPr="00B32905">
        <w:t>premium rating and risk selection</w:t>
      </w:r>
    </w:p>
    <w:p w:rsidR="00000000" w:rsidRPr="00B32905" w:rsidP="00B32905">
      <w:pPr>
        <w:pStyle w:val="ListBullet2"/>
      </w:pPr>
      <w:r w:rsidRPr="00B32905">
        <w:t>reporting</w:t>
      </w:r>
    </w:p>
    <w:p w:rsidR="00000000" w:rsidRPr="00B32905" w:rsidP="00B32905">
      <w:pPr>
        <w:pStyle w:val="ListBullet2"/>
      </w:pPr>
      <w:r w:rsidRPr="00B32905">
        <w:t>product development</w:t>
      </w:r>
    </w:p>
    <w:p w:rsidR="00000000" w:rsidRPr="00B32905" w:rsidP="00B32905">
      <w:pPr>
        <w:pStyle w:val="ListBullet2"/>
      </w:pPr>
      <w:r w:rsidRPr="00B32905">
        <w:t>underwriting.</w:t>
      </w:r>
    </w:p>
    <w:p w:rsidR="00000000" w:rsidRPr="00B32905" w:rsidP="00B32905">
      <w:pPr>
        <w:pStyle w:val="BodyText"/>
      </w:pPr>
    </w:p>
    <w:p w:rsidR="00000000" w:rsidRPr="00B32905" w:rsidP="004B2788">
      <w:pPr>
        <w:pStyle w:val="BodyText"/>
      </w:pPr>
      <w:r w:rsidRPr="00B32905">
        <w:t>For deposit products and non-cash payment facilities the individual must:</w:t>
      </w:r>
    </w:p>
    <w:p w:rsidR="00000000" w:rsidRPr="00B32905" w:rsidP="00B32905">
      <w:pPr>
        <w:pStyle w:val="ListBullet"/>
      </w:pPr>
      <w:r w:rsidRPr="00B32905">
        <w:t>name the types of deposit products and non-cash pay</w:t>
      </w:r>
      <w:r w:rsidRPr="00B32905">
        <w:t xml:space="preserve">ment products </w:t>
      </w:r>
    </w:p>
    <w:p w:rsidR="00000000" w:rsidRPr="00B32905" w:rsidP="00B32905">
      <w:pPr>
        <w:pStyle w:val="ListBullet"/>
      </w:pPr>
      <w:r w:rsidRPr="00B32905">
        <w:t>summarise the product characteristics.</w:t>
      </w:r>
    </w:p>
    <w:p w:rsidR="00000000" w:rsidRPr="00B32905" w:rsidP="00B32905">
      <w:pPr>
        <w:pStyle w:val="BodyText"/>
      </w:pPr>
    </w:p>
    <w:p w:rsidR="00000000" w:rsidRPr="00B32905" w:rsidP="004B2788">
      <w:pPr>
        <w:pStyle w:val="BodyText"/>
      </w:pPr>
      <w:r w:rsidRPr="00B32905">
        <w:t>For first home saver accounts the individual must:</w:t>
      </w:r>
    </w:p>
    <w:p w:rsidR="00000000" w:rsidRPr="00B32905" w:rsidP="00B32905">
      <w:pPr>
        <w:pStyle w:val="ListBullet"/>
      </w:pPr>
      <w:r w:rsidRPr="00B32905">
        <w:t>name the types of first home saver account products including the range of accounts, associated risks and alternative products</w:t>
      </w:r>
    </w:p>
    <w:p w:rsidR="00000000" w:rsidRPr="00B32905" w:rsidP="00B32905">
      <w:pPr>
        <w:pStyle w:val="ListBullet"/>
      </w:pPr>
      <w:r w:rsidRPr="00B32905">
        <w:t>summarise the product characteristics – eligibility and withdrawal, and government conditions</w:t>
      </w:r>
    </w:p>
    <w:p w:rsidR="00000000" w:rsidRPr="00B32905" w:rsidP="00B32905">
      <w:pPr>
        <w:pStyle w:val="ListBullet"/>
      </w:pPr>
      <w:r w:rsidRPr="00B32905">
        <w:t>explain the taxation issues relating to first home saver accounts.</w:t>
      </w:r>
    </w:p>
    <w:p w:rsidR="00000000" w:rsidRPr="00B32905" w:rsidP="00B32905">
      <w:pPr>
        <w:pStyle w:val="AllowPageBreak"/>
      </w:pPr>
    </w:p>
    <w:p w:rsidR="00000000" w:rsidRPr="00B32905" w:rsidP="00B32905">
      <w:pPr>
        <w:pStyle w:val="Heading1"/>
      </w:pPr>
      <w:bookmarkStart w:id="4" w:name="O_671907"/>
      <w:bookmarkEnd w:id="4"/>
      <w:r w:rsidRPr="00B32905">
        <w:t>Assessment Conditions</w:t>
      </w:r>
    </w:p>
    <w:p w:rsidR="00000000" w:rsidRPr="00B32905" w:rsidP="004B2788">
      <w:pPr>
        <w:pStyle w:val="BodyText"/>
      </w:pPr>
      <w:r w:rsidRPr="00B32905">
        <w:t>Assessment must be conducted in a safe environment where</w:t>
      </w:r>
      <w:r w:rsidRPr="00B32905">
        <w:t xml:space="preserve"> evidence gathered demonstrates consistent performance of typical activities experienced in the financial services and products advice field of work and include access to:</w:t>
      </w:r>
    </w:p>
    <w:p w:rsidR="00000000" w:rsidRPr="00B32905" w:rsidP="00B32905">
      <w:pPr>
        <w:pStyle w:val="ListBullet"/>
      </w:pPr>
      <w:r w:rsidRPr="00B32905">
        <w:t>common office equipment, technology, software and consumable</w:t>
      </w:r>
    </w:p>
    <w:p w:rsidR="00000000" w:rsidRPr="00B32905" w:rsidP="00B32905">
      <w:pPr>
        <w:pStyle w:val="ListBullet"/>
      </w:pPr>
      <w:r w:rsidRPr="00B32905">
        <w:t>financial services pro</w:t>
      </w:r>
      <w:r w:rsidRPr="00B32905">
        <w:t>duct information.</w:t>
      </w:r>
    </w:p>
    <w:p w:rsidR="00000000" w:rsidRPr="00B32905" w:rsidP="00B32905">
      <w:pPr>
        <w:pStyle w:val="BodyText"/>
      </w:pPr>
    </w:p>
    <w:p w:rsidR="00000000" w:rsidRPr="00B32905" w:rsidP="004B2788">
      <w:pPr>
        <w:pStyle w:val="BodyText"/>
      </w:pPr>
      <w:r w:rsidRPr="00B32905">
        <w:t xml:space="preserve">Assessors must satisfy NVR/AQTF assessor requirements </w:t>
      </w:r>
    </w:p>
    <w:p w:rsidR="00000000" w:rsidRPr="00B32905" w:rsidP="00B32905">
      <w:pPr>
        <w:pStyle w:val="Heading1"/>
      </w:pPr>
      <w:bookmarkStart w:id="5" w:name="O_671910"/>
      <w:bookmarkEnd w:id="5"/>
      <w:r w:rsidRPr="00B32905">
        <w:t>Links</w:t>
      </w:r>
    </w:p>
    <w:p w:rsidR="00000000" w:rsidRPr="00B32905" w:rsidP="004B2788">
      <w:pPr>
        <w:pStyle w:val="BodyText"/>
      </w:pPr>
      <w:r w:rsidRPr="00B329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530D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32905" w:rsidP="00B32905"/>
    <w:sectPr w:rsidSect="00B329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905" w:rsidRPr="004B2788" w:rsidP="004B2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788" w:rsidP="00B32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2788" w:rsidP="00B32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2788" w:rsidP="00B329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905" w:rsidRPr="004B2788" w:rsidP="004B2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788" w:rsidRPr="002D2AF8" w:rsidP="00B32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FNSASIC302 Develop, present and negotiate client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B2788" w:rsidP="00B329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403F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9E5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083B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9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9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9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9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9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9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9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9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9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9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9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905"/>
  </w:style>
  <w:style w:type="character" w:customStyle="1" w:styleId="Heading1Char">
    <w:name w:val="Heading 1 Char"/>
    <w:basedOn w:val="DefaultParagraphFont"/>
    <w:link w:val="Heading1"/>
    <w:rsid w:val="00B329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9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9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9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905"/>
    <w:rPr>
      <w:b/>
      <w:spacing w:val="0"/>
    </w:rPr>
  </w:style>
  <w:style w:type="paragraph" w:styleId="ListBullet2">
    <w:name w:val="List Bullet 2"/>
    <w:basedOn w:val="List2"/>
    <w:rsid w:val="00B329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29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9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9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9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9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9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9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9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9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9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9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9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9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9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9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9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9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9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9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9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9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29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9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9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9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9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9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9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9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9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905"/>
    <w:rPr>
      <w:i/>
    </w:rPr>
  </w:style>
  <w:style w:type="paragraph" w:styleId="Caption">
    <w:name w:val="caption"/>
    <w:basedOn w:val="BodyText"/>
    <w:next w:val="Normal"/>
    <w:qFormat/>
    <w:rsid w:val="00B329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9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9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905"/>
  </w:style>
  <w:style w:type="paragraph" w:styleId="TableofFigures">
    <w:name w:val="table of figures"/>
    <w:basedOn w:val="Normal"/>
    <w:next w:val="Normal"/>
    <w:semiHidden/>
    <w:rsid w:val="00B329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9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2905"/>
    <w:rPr>
      <w:rFonts w:ascii="Wingdings" w:hAnsi="Wingdings"/>
    </w:rPr>
  </w:style>
  <w:style w:type="paragraph" w:customStyle="1" w:styleId="TableHeading">
    <w:name w:val="Table Heading"/>
    <w:basedOn w:val="HeadingBase"/>
    <w:rsid w:val="00B329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905"/>
    <w:rPr>
      <w:color w:val="0033CC"/>
      <w:u w:val="none"/>
    </w:rPr>
  </w:style>
  <w:style w:type="paragraph" w:customStyle="1" w:styleId="BodyTextRight">
    <w:name w:val="Body Text Right"/>
    <w:basedOn w:val="BodyText"/>
    <w:rsid w:val="00B329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9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9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9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9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9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905"/>
    <w:rPr>
      <w:sz w:val="32"/>
    </w:rPr>
  </w:style>
  <w:style w:type="paragraph" w:customStyle="1" w:styleId="HeadingProcedure">
    <w:name w:val="Heading Procedure"/>
    <w:basedOn w:val="HeadingBase"/>
    <w:next w:val="Normal"/>
    <w:rsid w:val="00B329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905"/>
    <w:pPr>
      <w:spacing w:before="60" w:after="60"/>
    </w:pPr>
  </w:style>
  <w:style w:type="paragraph" w:styleId="ListContinue">
    <w:name w:val="List Continue"/>
    <w:basedOn w:val="List"/>
    <w:rsid w:val="00B32905"/>
    <w:pPr>
      <w:ind w:firstLine="0"/>
    </w:pPr>
  </w:style>
  <w:style w:type="paragraph" w:customStyle="1" w:styleId="ListNote">
    <w:name w:val="List Note"/>
    <w:basedOn w:val="List"/>
    <w:rsid w:val="00B329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9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9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905"/>
    <w:rPr>
      <w:rFonts w:ascii="Courier New" w:hAnsi="Courier New"/>
    </w:rPr>
  </w:style>
  <w:style w:type="paragraph" w:customStyle="1" w:styleId="NoteBullet">
    <w:name w:val="Note Bullet"/>
    <w:basedOn w:val="Note"/>
    <w:rsid w:val="00B329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9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9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9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9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29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9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905"/>
    <w:rPr>
      <w:b/>
      <w:smallCaps/>
    </w:rPr>
  </w:style>
  <w:style w:type="paragraph" w:customStyle="1" w:styleId="TableListNumber">
    <w:name w:val="Table List Number"/>
    <w:basedOn w:val="ListNumber"/>
    <w:rsid w:val="00B329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9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905"/>
    <w:pPr>
      <w:numPr>
        <w:numId w:val="9"/>
      </w:numPr>
    </w:pPr>
  </w:style>
  <w:style w:type="paragraph" w:customStyle="1" w:styleId="ListAlpha2">
    <w:name w:val="List Alpha 2"/>
    <w:basedOn w:val="List2"/>
    <w:rsid w:val="00B32905"/>
    <w:pPr>
      <w:numPr>
        <w:numId w:val="8"/>
      </w:numPr>
    </w:pPr>
  </w:style>
  <w:style w:type="paragraph" w:styleId="List2">
    <w:name w:val="List 2"/>
    <w:basedOn w:val="BodyText"/>
    <w:rsid w:val="00B329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9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9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9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9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9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2905"/>
    <w:pPr>
      <w:numPr>
        <w:numId w:val="4"/>
      </w:numPr>
    </w:pPr>
  </w:style>
  <w:style w:type="paragraph" w:styleId="ListContinue2">
    <w:name w:val="List Continue 2"/>
    <w:basedOn w:val="List2"/>
    <w:rsid w:val="00B32905"/>
    <w:pPr>
      <w:ind w:firstLine="0"/>
    </w:pPr>
  </w:style>
  <w:style w:type="paragraph" w:styleId="ListContinue3">
    <w:name w:val="List Continue 3"/>
    <w:basedOn w:val="List3"/>
    <w:rsid w:val="00B32905"/>
    <w:pPr>
      <w:ind w:left="1021" w:firstLine="0"/>
    </w:pPr>
  </w:style>
  <w:style w:type="paragraph" w:styleId="ListContinue4">
    <w:name w:val="List Continue 4"/>
    <w:basedOn w:val="List4"/>
    <w:rsid w:val="00B32905"/>
    <w:pPr>
      <w:ind w:firstLine="0"/>
    </w:pPr>
  </w:style>
  <w:style w:type="paragraph" w:styleId="ListContinue5">
    <w:name w:val="List Continue 5"/>
    <w:basedOn w:val="List5"/>
    <w:rsid w:val="00B32905"/>
    <w:pPr>
      <w:ind w:firstLine="0"/>
    </w:pPr>
  </w:style>
  <w:style w:type="paragraph" w:styleId="ListNumber3">
    <w:name w:val="List Number 3"/>
    <w:basedOn w:val="List3"/>
    <w:rsid w:val="00B32905"/>
    <w:pPr>
      <w:numPr>
        <w:numId w:val="5"/>
      </w:numPr>
    </w:pPr>
  </w:style>
  <w:style w:type="paragraph" w:styleId="ListNumber4">
    <w:name w:val="List Number 4"/>
    <w:basedOn w:val="List4"/>
    <w:rsid w:val="00B32905"/>
    <w:pPr>
      <w:numPr>
        <w:numId w:val="6"/>
      </w:numPr>
    </w:pPr>
  </w:style>
  <w:style w:type="paragraph" w:styleId="ListNumber5">
    <w:name w:val="List Number 5"/>
    <w:basedOn w:val="List5"/>
    <w:rsid w:val="00B32905"/>
    <w:pPr>
      <w:numPr>
        <w:numId w:val="7"/>
      </w:numPr>
    </w:pPr>
  </w:style>
  <w:style w:type="paragraph" w:styleId="BlockText">
    <w:name w:val="Block Text"/>
    <w:basedOn w:val="Normal"/>
    <w:rsid w:val="00B329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9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905"/>
    <w:rPr>
      <w:sz w:val="16"/>
      <w:vertAlign w:val="superscript"/>
    </w:rPr>
  </w:style>
  <w:style w:type="character" w:customStyle="1" w:styleId="Symbols">
    <w:name w:val="Symbols"/>
    <w:basedOn w:val="DefaultParagraphFont"/>
    <w:rsid w:val="00B32905"/>
    <w:rPr>
      <w:rFonts w:ascii="Symbol" w:hAnsi="Symbol"/>
    </w:rPr>
  </w:style>
  <w:style w:type="character" w:customStyle="1" w:styleId="MenuOptions">
    <w:name w:val="Menu Options"/>
    <w:basedOn w:val="DefaultParagraphFont"/>
    <w:rsid w:val="00B329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905"/>
    <w:rPr>
      <w:b/>
    </w:rPr>
  </w:style>
  <w:style w:type="character" w:customStyle="1" w:styleId="Underlined">
    <w:name w:val="Underlined"/>
    <w:basedOn w:val="DefaultParagraphFont"/>
    <w:rsid w:val="00B32905"/>
    <w:rPr>
      <w:u w:val="single"/>
    </w:rPr>
  </w:style>
  <w:style w:type="paragraph" w:customStyle="1" w:styleId="TableBodyTextRight">
    <w:name w:val="Table Body Text Right"/>
    <w:basedOn w:val="TableBodyText"/>
    <w:rsid w:val="00B329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905"/>
    <w:rPr>
      <w:sz w:val="18"/>
    </w:rPr>
  </w:style>
  <w:style w:type="paragraph" w:customStyle="1" w:styleId="BodySmallRight">
    <w:name w:val="Body Small Right"/>
    <w:basedOn w:val="BodyTextRight"/>
    <w:rsid w:val="00B32905"/>
    <w:rPr>
      <w:sz w:val="18"/>
      <w:szCs w:val="18"/>
    </w:rPr>
  </w:style>
  <w:style w:type="paragraph" w:customStyle="1" w:styleId="MarginEdition">
    <w:name w:val="Margin Edition"/>
    <w:basedOn w:val="MarginNote"/>
    <w:rsid w:val="00B329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905"/>
    <w:rPr>
      <w:sz w:val="2"/>
      <w:szCs w:val="2"/>
    </w:rPr>
  </w:style>
  <w:style w:type="character" w:customStyle="1" w:styleId="Small">
    <w:name w:val="Small"/>
    <w:basedOn w:val="DefaultParagraphFont"/>
    <w:rsid w:val="00B32905"/>
    <w:rPr>
      <w:sz w:val="16"/>
    </w:rPr>
  </w:style>
  <w:style w:type="paragraph" w:customStyle="1" w:styleId="WideTable">
    <w:name w:val="Wide Table"/>
    <w:basedOn w:val="Normal"/>
    <w:rsid w:val="00B329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905"/>
  </w:style>
  <w:style w:type="paragraph" w:styleId="Quote">
    <w:name w:val="Quote"/>
    <w:basedOn w:val="Heading1"/>
    <w:link w:val="QuoteChar"/>
    <w:qFormat/>
    <w:rsid w:val="00B329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9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905"/>
    <w:pPr>
      <w:pageBreakBefore/>
    </w:pPr>
  </w:style>
  <w:style w:type="paragraph" w:customStyle="1" w:styleId="Border">
    <w:name w:val="Border"/>
    <w:basedOn w:val="Normal"/>
    <w:qFormat/>
    <w:rsid w:val="00B329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9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9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9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9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9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9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9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9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905"/>
    <w:rPr>
      <w:u w:val="single"/>
    </w:rPr>
  </w:style>
  <w:style w:type="character" w:customStyle="1" w:styleId="BoldandItalics">
    <w:name w:val="Bold and Italics"/>
    <w:qFormat/>
    <w:rsid w:val="00B32905"/>
    <w:rPr>
      <w:b/>
      <w:i/>
      <w:u w:val="none"/>
    </w:rPr>
  </w:style>
  <w:style w:type="paragraph" w:styleId="BalloonText">
    <w:name w:val="Balloon Text"/>
    <w:basedOn w:val="Normal"/>
    <w:link w:val="BalloonTextChar"/>
    <w:rsid w:val="00B32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9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9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9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9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9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905"/>
    <w:pPr>
      <w:spacing w:before="0" w:after="0"/>
    </w:pPr>
  </w:style>
  <w:style w:type="paragraph" w:customStyle="1" w:styleId="BodyTextBold">
    <w:name w:val="Body Text Bold"/>
    <w:basedOn w:val="BodyText"/>
    <w:qFormat/>
    <w:rsid w:val="00B32905"/>
    <w:rPr>
      <w:b/>
    </w:rPr>
  </w:style>
  <w:style w:type="character" w:styleId="Hyperlink">
    <w:name w:val="Hyperlink"/>
    <w:basedOn w:val="DefaultParagraphFont"/>
    <w:uiPriority w:val="99"/>
    <w:unhideWhenUsed/>
    <w:rsid w:val="004B2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3568</Characters>
  <Application>Microsoft Office Word</Application>
  <DocSecurity>0</DocSecurity>
  <Lines>99</Lines>
  <Paragraphs>70</Paragraphs>
  <ScaleCrop>false</ScaleCrop>
  <Company>Author-it Software Corporation Ltd.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FNSASIC302 Develop, present and negotiate client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2023-12-19T06:58:00Z</dcterms:created>
  <dcterms:modified xsi:type="dcterms:W3CDTF">2023-12-19T06:58:00Z</dcterms:modified>
</cp:coreProperties>
</file>