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3FD" w:rsidP="00850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FNSASIC301 Establish client relationship and analyse needs</w:t>
      </w:r>
      <w:r>
        <w:fldChar w:fldCharType="end"/>
      </w:r>
    </w:p>
    <w:p w:rsidR="008503FD" w:rsidP="008503FD">
      <w:pPr>
        <w:pStyle w:val="Version"/>
        <w:sectPr w:rsidSect="00F23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391" w:rsidP="00F23391">
      <w:pPr>
        <w:pStyle w:val="SuperHeading"/>
      </w:pPr>
      <w:r w:rsidRPr="00F23391">
        <w:t>Assessment Requirements for FNSASIC301 Establish client relationship and analyse needs</w:t>
      </w:r>
    </w:p>
    <w:p w:rsidR="00000000" w:rsidRPr="00F23391" w:rsidP="00F23391">
      <w:pPr>
        <w:pStyle w:val="Heading1"/>
      </w:pPr>
      <w:bookmarkStart w:id="1" w:name="O_671866"/>
      <w:bookmarkEnd w:id="1"/>
      <w:r w:rsidRPr="00F23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91" w:rsidP="00F23391">
            <w:pPr>
              <w:pStyle w:val="BodyText"/>
            </w:pPr>
            <w:r w:rsidRPr="00F233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91">
            <w:pPr>
              <w:pStyle w:val="BodyText"/>
              <w:rPr>
                <w:lang w:val="en-NZ"/>
              </w:rPr>
            </w:pPr>
            <w:r w:rsidRPr="00F23391">
              <w:rPr>
                <w:rStyle w:val="SpecialBold"/>
              </w:rPr>
              <w:t>Comments</w:t>
            </w:r>
          </w:p>
        </w:tc>
      </w:tr>
      <w:tr w:rsidTr="00F2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91">
            <w:pPr>
              <w:pStyle w:val="BodyText"/>
              <w:rPr>
                <w:lang w:val="en-NZ"/>
              </w:rPr>
            </w:pPr>
            <w:r w:rsidRPr="00F233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91" w:rsidP="00F23391">
            <w:pPr>
              <w:pStyle w:val="BodyText"/>
            </w:pPr>
            <w:r w:rsidRPr="00F23391">
              <w:t>This version first released with FNS Financial Services Training Package Version 1.0.</w:t>
            </w:r>
          </w:p>
        </w:tc>
      </w:tr>
    </w:tbl>
    <w:p w:rsidR="00000000" w:rsidRPr="00F23391" w:rsidP="00F23391">
      <w:pPr>
        <w:pStyle w:val="BodyText"/>
      </w:pPr>
    </w:p>
    <w:p w:rsidR="00000000" w:rsidRPr="00F23391" w:rsidP="00F23391">
      <w:pPr>
        <w:pStyle w:val="AllowPageBreak"/>
      </w:pPr>
    </w:p>
    <w:p w:rsidR="00000000" w:rsidRPr="00F23391" w:rsidP="00F23391">
      <w:pPr>
        <w:pStyle w:val="Heading1"/>
      </w:pPr>
      <w:bookmarkStart w:id="2" w:name="O_671867"/>
      <w:bookmarkEnd w:id="2"/>
      <w:r w:rsidRPr="00F23391">
        <w:t>Performance Evidence</w:t>
      </w:r>
    </w:p>
    <w:p w:rsidR="00000000" w:rsidRPr="00F23391" w:rsidP="008503FD">
      <w:pPr>
        <w:pStyle w:val="BodyText"/>
      </w:pPr>
      <w:r w:rsidRPr="00F23391">
        <w:t xml:space="preserve">Evidence of the ability to: </w:t>
      </w:r>
    </w:p>
    <w:p w:rsidR="00000000" w:rsidRPr="00F23391" w:rsidP="00F23391">
      <w:pPr>
        <w:pStyle w:val="ListBullet"/>
      </w:pPr>
      <w:r w:rsidRPr="00F23391">
        <w:t>work effectively with clients to collect relevant personal and/or business information that will enable identification of their objectives, needs, expectations, financial situation and risk profile</w:t>
      </w:r>
      <w:r w:rsidRPr="00F23391">
        <w:t xml:space="preserve"> </w:t>
      </w:r>
    </w:p>
    <w:p w:rsidR="00000000" w:rsidRPr="00F23391" w:rsidP="00F23391">
      <w:pPr>
        <w:pStyle w:val="ListBullet"/>
      </w:pPr>
      <w:r w:rsidRPr="00F23391">
        <w:t xml:space="preserve">interpret and comply with relevant industry regulations and codes of practice requirements that relate to the provision of financial product advice </w:t>
      </w:r>
    </w:p>
    <w:p w:rsidR="00000000" w:rsidRPr="00F23391" w:rsidP="00F23391">
      <w:pPr>
        <w:pStyle w:val="ListBullet"/>
      </w:pPr>
      <w:r w:rsidRPr="00F23391">
        <w:t>analyse client information and assess client risk profile to determine the characteristics of financial p</w:t>
      </w:r>
      <w:r w:rsidRPr="00F23391">
        <w:t>roducts and services relevant to client needs.</w:t>
      </w:r>
    </w:p>
    <w:p w:rsidR="00000000" w:rsidRPr="00F23391" w:rsidP="00F23391">
      <w:pPr>
        <w:pStyle w:val="BodyText"/>
      </w:pPr>
    </w:p>
    <w:p w:rsidR="00000000" w:rsidRPr="00F23391" w:rsidP="008503FD">
      <w:pPr>
        <w:pStyle w:val="BodyText"/>
      </w:pPr>
      <w:r w:rsidRPr="00F23391">
        <w:t>Note: If a specific volume or frequency is not stated, then evidence must be provided at least once.</w:t>
      </w:r>
    </w:p>
    <w:p w:rsidR="00000000" w:rsidRPr="00F23391" w:rsidP="00F23391">
      <w:pPr>
        <w:pStyle w:val="Heading1"/>
      </w:pPr>
      <w:bookmarkStart w:id="3" w:name="O_671868"/>
      <w:bookmarkEnd w:id="3"/>
      <w:r w:rsidRPr="00F23391">
        <w:t>Knowledge Evidence</w:t>
      </w:r>
    </w:p>
    <w:p w:rsidR="00000000" w:rsidRPr="00F23391" w:rsidP="008503FD">
      <w:pPr>
        <w:pStyle w:val="BodyText"/>
      </w:pPr>
      <w:r w:rsidRPr="00F23391">
        <w:t>To complete the unit requirements safely and effectively, the individual must satisfy the knowledge requirements relevant to the products and activities in which advice is given.</w:t>
      </w:r>
    </w:p>
    <w:p w:rsidR="00000000" w:rsidRPr="00F23391" w:rsidP="008503FD">
      <w:pPr>
        <w:pStyle w:val="BodyText"/>
      </w:pPr>
      <w:r w:rsidRPr="00F23391">
        <w:t>For general insurance, deposit products and non-cash payments and relevant f</w:t>
      </w:r>
      <w:r w:rsidRPr="00F23391">
        <w:t>irst home saver account products the individual must:</w:t>
      </w:r>
    </w:p>
    <w:p w:rsidR="00000000" w:rsidRPr="00F23391" w:rsidP="00F23391">
      <w:pPr>
        <w:pStyle w:val="ListBullet"/>
      </w:pPr>
      <w:r w:rsidRPr="00F23391">
        <w:t>explain the legal environment including disclosure and compliance covering:</w:t>
      </w:r>
    </w:p>
    <w:p w:rsidR="00000000" w:rsidRPr="00F23391" w:rsidP="00F23391">
      <w:pPr>
        <w:pStyle w:val="ListBullet2"/>
      </w:pPr>
      <w:r w:rsidRPr="00F23391">
        <w:t>role of the representative or adviser</w:t>
      </w:r>
    </w:p>
    <w:p w:rsidR="00000000" w:rsidRPr="00F23391" w:rsidP="00F23391">
      <w:pPr>
        <w:pStyle w:val="ListBullet2"/>
      </w:pPr>
      <w:r w:rsidRPr="00F23391">
        <w:t>relevant legal principles including the Corporations Act, Financial Services Reform Ac</w:t>
      </w:r>
      <w:r w:rsidRPr="00F23391">
        <w:t>t (FSRA), Competition and Consumer Act, Insurance Contracts Act and Australian Securities and Investments Commission (ASIC) Act</w:t>
      </w:r>
    </w:p>
    <w:p w:rsidR="00000000" w:rsidRPr="00F23391" w:rsidP="00F23391">
      <w:pPr>
        <w:pStyle w:val="ListBullet2"/>
      </w:pPr>
      <w:r w:rsidRPr="00F23391">
        <w:t>the relationship between ethics and regulatory requirements including good faith, utmost good faith, full disclosure of remunera</w:t>
      </w:r>
      <w:r w:rsidRPr="00F23391">
        <w:t>tion and fees, and any other conflicts of interest which may influence the adviser’s recommendation</w:t>
      </w:r>
    </w:p>
    <w:p w:rsidR="00000000" w:rsidRPr="00F23391" w:rsidP="00F23391">
      <w:pPr>
        <w:pStyle w:val="ListBullet"/>
      </w:pPr>
      <w:r w:rsidRPr="00F23391">
        <w:t>name relevant industry codes of practice and conduct</w:t>
      </w:r>
    </w:p>
    <w:p w:rsidR="00000000" w:rsidRPr="00F23391" w:rsidP="00F23391">
      <w:pPr>
        <w:pStyle w:val="ListBullet"/>
      </w:pPr>
      <w:r w:rsidRPr="00F23391">
        <w:t>identify complaints resolution procedures (internal and external)</w:t>
      </w:r>
    </w:p>
    <w:p w:rsidR="00000000" w:rsidRPr="00F23391" w:rsidP="00F23391">
      <w:pPr>
        <w:pStyle w:val="ListBullet"/>
      </w:pPr>
      <w:r w:rsidRPr="00F23391">
        <w:t>outline relevant ASIC regulatory gui</w:t>
      </w:r>
      <w:r w:rsidRPr="00F23391">
        <w:t>delines.</w:t>
      </w:r>
    </w:p>
    <w:p w:rsidR="00000000" w:rsidRPr="00F23391" w:rsidP="00F23391">
      <w:pPr>
        <w:pStyle w:val="BodyText"/>
      </w:pPr>
    </w:p>
    <w:p w:rsidR="00000000" w:rsidRPr="00F23391" w:rsidP="008503FD">
      <w:pPr>
        <w:pStyle w:val="BodyText"/>
      </w:pPr>
      <w:r w:rsidRPr="00F23391">
        <w:t>For general insurance the individual must:</w:t>
      </w:r>
    </w:p>
    <w:p w:rsidR="00000000" w:rsidRPr="00F23391" w:rsidP="00F23391">
      <w:pPr>
        <w:pStyle w:val="ListBullet"/>
      </w:pPr>
      <w:r w:rsidRPr="00F23391">
        <w:t>summarise the characteristics and participants of Australian insurance markets and the roles played by intermediaries, and identify insurance products including:</w:t>
      </w:r>
    </w:p>
    <w:p w:rsidR="00000000" w:rsidRPr="00F23391" w:rsidP="00F23391">
      <w:pPr>
        <w:pStyle w:val="ListBullet2"/>
      </w:pPr>
      <w:r w:rsidRPr="00F23391">
        <w:t>definition of an insurance product</w:t>
      </w:r>
    </w:p>
    <w:p w:rsidR="00000000" w:rsidRPr="00F23391" w:rsidP="00F23391">
      <w:pPr>
        <w:pStyle w:val="ListBullet2"/>
      </w:pPr>
      <w:r w:rsidRPr="00F23391">
        <w:t>conditions, exclusions and level of coverage of risk transfer products</w:t>
      </w:r>
    </w:p>
    <w:p w:rsidR="00000000" w:rsidRPr="00F23391" w:rsidP="00F23391">
      <w:pPr>
        <w:pStyle w:val="ListBullet2"/>
      </w:pPr>
      <w:r w:rsidRPr="00F23391">
        <w:t>types of insurance products</w:t>
      </w:r>
    </w:p>
    <w:p w:rsidR="00000000" w:rsidRPr="00F23391" w:rsidP="00F23391">
      <w:pPr>
        <w:pStyle w:val="ListBullet2"/>
      </w:pPr>
      <w:r w:rsidRPr="00F23391">
        <w:t>pricing of risk products</w:t>
      </w:r>
    </w:p>
    <w:p w:rsidR="00000000" w:rsidRPr="00F23391" w:rsidP="00F23391">
      <w:pPr>
        <w:pStyle w:val="ListBullet"/>
      </w:pPr>
      <w:r w:rsidRPr="00F23391">
        <w:t xml:space="preserve">identify taxation issues relating to insurance products </w:t>
      </w:r>
    </w:p>
    <w:p w:rsidR="00000000" w:rsidRPr="00F23391" w:rsidP="00F23391">
      <w:pPr>
        <w:pStyle w:val="ListBullet"/>
      </w:pPr>
      <w:r w:rsidRPr="00F23391">
        <w:t>explain advisory functions including:</w:t>
      </w:r>
    </w:p>
    <w:p w:rsidR="00000000" w:rsidRPr="00F23391" w:rsidP="00F23391">
      <w:pPr>
        <w:pStyle w:val="ListBullet2"/>
      </w:pPr>
      <w:r w:rsidRPr="00F23391">
        <w:t xml:space="preserve">role of the representative, broker </w:t>
      </w:r>
      <w:r w:rsidRPr="00F23391">
        <w:t>or adviser</w:t>
      </w:r>
    </w:p>
    <w:p w:rsidR="00000000" w:rsidRPr="00F23391" w:rsidP="00F23391">
      <w:pPr>
        <w:pStyle w:val="ListBullet2"/>
      </w:pPr>
      <w:r w:rsidRPr="00F23391">
        <w:t>participants in the insurance advisory services market</w:t>
      </w:r>
    </w:p>
    <w:p w:rsidR="00000000" w:rsidRPr="00F23391" w:rsidP="00F23391">
      <w:pPr>
        <w:pStyle w:val="ListBullet2"/>
      </w:pPr>
      <w:r w:rsidRPr="00F23391">
        <w:t xml:space="preserve">range of services provided </w:t>
      </w:r>
    </w:p>
    <w:p w:rsidR="00000000" w:rsidRPr="00F23391" w:rsidP="00F23391">
      <w:pPr>
        <w:pStyle w:val="ListBullet2"/>
      </w:pPr>
      <w:r w:rsidRPr="00F23391">
        <w:t>profile and financial information of the client</w:t>
      </w:r>
    </w:p>
    <w:p w:rsidR="00000000" w:rsidRPr="00F23391" w:rsidP="00F23391">
      <w:pPr>
        <w:pStyle w:val="ListBullet2"/>
      </w:pPr>
      <w:r w:rsidRPr="00F23391">
        <w:t>appropriateness of a risk assessment</w:t>
      </w:r>
    </w:p>
    <w:p w:rsidR="00000000" w:rsidRPr="00F23391" w:rsidP="00F23391">
      <w:pPr>
        <w:pStyle w:val="ListBullet"/>
      </w:pPr>
      <w:r w:rsidRPr="00F23391">
        <w:t xml:space="preserve">summarise the specific product knowledge for the general insurance products </w:t>
      </w:r>
      <w:r w:rsidRPr="00F23391">
        <w:t>in which advice is given including:</w:t>
      </w:r>
    </w:p>
    <w:p w:rsidR="00000000" w:rsidRPr="00F23391" w:rsidP="00F23391">
      <w:pPr>
        <w:pStyle w:val="ListBullet2"/>
      </w:pPr>
      <w:r w:rsidRPr="00F23391">
        <w:t>standard cover (and deviations)</w:t>
      </w:r>
    </w:p>
    <w:p w:rsidR="00000000" w:rsidRPr="00F23391" w:rsidP="00F23391">
      <w:pPr>
        <w:pStyle w:val="ListBullet2"/>
      </w:pPr>
      <w:r w:rsidRPr="00F23391">
        <w:t>policy wordings</w:t>
      </w:r>
    </w:p>
    <w:p w:rsidR="00000000" w:rsidRPr="00F23391" w:rsidP="00F23391">
      <w:pPr>
        <w:pStyle w:val="ListBullet2"/>
      </w:pPr>
      <w:r w:rsidRPr="00F23391">
        <w:t>taxes and charges</w:t>
      </w:r>
    </w:p>
    <w:p w:rsidR="00000000" w:rsidRPr="00F23391" w:rsidP="00F23391">
      <w:pPr>
        <w:pStyle w:val="ListBullet2"/>
      </w:pPr>
      <w:r w:rsidRPr="00F23391">
        <w:t>insurance claims</w:t>
      </w:r>
    </w:p>
    <w:p w:rsidR="00000000" w:rsidRPr="00F23391" w:rsidP="00F23391">
      <w:pPr>
        <w:pStyle w:val="ListBullet2"/>
      </w:pPr>
      <w:r w:rsidRPr="00F23391">
        <w:t>premium rating and risk selection</w:t>
      </w:r>
    </w:p>
    <w:p w:rsidR="00000000" w:rsidRPr="00F23391" w:rsidP="00F23391">
      <w:pPr>
        <w:pStyle w:val="ListBullet2"/>
      </w:pPr>
      <w:r w:rsidRPr="00F23391">
        <w:t>reporting</w:t>
      </w:r>
    </w:p>
    <w:p w:rsidR="00000000" w:rsidRPr="00F23391" w:rsidP="00F23391">
      <w:pPr>
        <w:pStyle w:val="ListBullet2"/>
      </w:pPr>
      <w:r w:rsidRPr="00F23391">
        <w:t>product development</w:t>
      </w:r>
    </w:p>
    <w:p w:rsidR="00000000" w:rsidRPr="00F23391" w:rsidP="00F23391">
      <w:pPr>
        <w:pStyle w:val="ListBullet2"/>
      </w:pPr>
      <w:r w:rsidRPr="00F23391">
        <w:t>underwriting.</w:t>
      </w:r>
    </w:p>
    <w:p w:rsidR="00000000" w:rsidRPr="00F23391" w:rsidP="00F23391">
      <w:pPr>
        <w:pStyle w:val="BodyText"/>
      </w:pPr>
    </w:p>
    <w:p w:rsidR="00000000" w:rsidRPr="00F23391" w:rsidP="008503FD">
      <w:pPr>
        <w:pStyle w:val="BodyText"/>
      </w:pPr>
      <w:r w:rsidRPr="00F23391">
        <w:t>For deposit products and non-cash payment facilit</w:t>
      </w:r>
      <w:r w:rsidRPr="00F23391">
        <w:t>ies the individual must:</w:t>
      </w:r>
    </w:p>
    <w:p w:rsidR="00000000" w:rsidRPr="00F23391" w:rsidP="00F23391">
      <w:pPr>
        <w:pStyle w:val="ListBullet"/>
      </w:pPr>
      <w:r w:rsidRPr="00F23391">
        <w:t xml:space="preserve">name the types of deposit products and non-cash payment products </w:t>
      </w:r>
    </w:p>
    <w:p w:rsidR="00000000" w:rsidRPr="00F23391" w:rsidP="00F23391">
      <w:pPr>
        <w:pStyle w:val="ListBullet"/>
      </w:pPr>
      <w:r w:rsidRPr="00F23391">
        <w:t>summarise the product characteristics.</w:t>
      </w:r>
    </w:p>
    <w:p w:rsidR="00000000" w:rsidRPr="00F23391" w:rsidP="00F23391">
      <w:pPr>
        <w:pStyle w:val="BodyText"/>
      </w:pPr>
    </w:p>
    <w:p w:rsidR="00000000" w:rsidRPr="00F23391" w:rsidP="008503FD">
      <w:pPr>
        <w:pStyle w:val="BodyText"/>
      </w:pPr>
      <w:r w:rsidRPr="00F23391">
        <w:t>For first home saver accounts the individual must:</w:t>
      </w:r>
    </w:p>
    <w:p w:rsidR="00000000" w:rsidRPr="00F23391" w:rsidP="00F23391">
      <w:pPr>
        <w:pStyle w:val="ListBullet"/>
      </w:pPr>
      <w:r w:rsidRPr="00F23391">
        <w:t>name the types of first home saver account products including the range of accounts, associated risks and alternative products</w:t>
      </w:r>
    </w:p>
    <w:p w:rsidR="00000000" w:rsidRPr="00F23391" w:rsidP="00F23391">
      <w:pPr>
        <w:pStyle w:val="ListBullet"/>
      </w:pPr>
      <w:r w:rsidRPr="00F23391">
        <w:t>summarise the product characteristics – eligibility and withdrawal, and government conditions</w:t>
      </w:r>
    </w:p>
    <w:p w:rsidR="00000000" w:rsidRPr="00F23391" w:rsidP="00F23391">
      <w:pPr>
        <w:pStyle w:val="ListBullet"/>
      </w:pPr>
      <w:r w:rsidRPr="00F23391">
        <w:t>explain the taxation issues relatin</w:t>
      </w:r>
      <w:r w:rsidRPr="00F23391">
        <w:t>g to first home saver accounts.</w:t>
      </w:r>
    </w:p>
    <w:p w:rsidR="00000000" w:rsidRPr="00F23391" w:rsidP="00F23391">
      <w:pPr>
        <w:pStyle w:val="AllowPageBreak"/>
      </w:pPr>
    </w:p>
    <w:p w:rsidR="00000000" w:rsidRPr="00F23391" w:rsidP="00F23391">
      <w:pPr>
        <w:pStyle w:val="Heading1"/>
      </w:pPr>
      <w:bookmarkStart w:id="4" w:name="O_671869"/>
      <w:bookmarkEnd w:id="4"/>
      <w:r w:rsidRPr="00F23391">
        <w:t>Assessment Conditions</w:t>
      </w:r>
    </w:p>
    <w:p w:rsidR="00000000" w:rsidRPr="00F23391" w:rsidP="008503FD">
      <w:pPr>
        <w:pStyle w:val="BodyText"/>
      </w:pPr>
      <w:r w:rsidRPr="00F23391">
        <w:t>Assessment must be conducted in a safe environment where evidence gathered demonstrates consistent performance of typical activities experienced in the financial services and products a</w:t>
      </w:r>
      <w:r w:rsidRPr="00F23391">
        <w:t>dvice field of work and include access to:</w:t>
      </w:r>
    </w:p>
    <w:p w:rsidR="00000000" w:rsidRPr="00F23391" w:rsidP="00F23391">
      <w:pPr>
        <w:pStyle w:val="ListBullet"/>
      </w:pPr>
      <w:r w:rsidRPr="00F23391">
        <w:t>office equipment, technology, software and consumables</w:t>
      </w:r>
    </w:p>
    <w:p w:rsidR="00000000" w:rsidRPr="00F23391" w:rsidP="00F23391">
      <w:pPr>
        <w:pStyle w:val="ListBullet"/>
      </w:pPr>
      <w:r w:rsidRPr="00F23391">
        <w:t>financial services product information.</w:t>
      </w:r>
    </w:p>
    <w:p w:rsidR="00000000" w:rsidRPr="00F23391" w:rsidP="00F23391">
      <w:pPr>
        <w:pStyle w:val="BodyText"/>
      </w:pPr>
    </w:p>
    <w:p w:rsidR="00000000" w:rsidRPr="00F23391" w:rsidP="008503FD">
      <w:pPr>
        <w:pStyle w:val="BodyText"/>
      </w:pPr>
      <w:r w:rsidRPr="00F23391">
        <w:t xml:space="preserve">Assessors must satisfy NVR/AQTF assessor requirements. </w:t>
      </w:r>
    </w:p>
    <w:p w:rsidR="00000000" w:rsidRPr="00F23391" w:rsidP="00F23391">
      <w:pPr>
        <w:pStyle w:val="Heading1"/>
      </w:pPr>
      <w:bookmarkStart w:id="5" w:name="O_671872"/>
      <w:bookmarkEnd w:id="5"/>
      <w:r w:rsidRPr="00F23391">
        <w:t>Links</w:t>
      </w:r>
    </w:p>
    <w:p w:rsidR="00000000" w:rsidRPr="00F23391" w:rsidP="008503FD">
      <w:pPr>
        <w:pStyle w:val="BodyText"/>
      </w:pPr>
      <w:r w:rsidRPr="00F23391">
        <w:t>Companion Volume implementation guide</w:t>
      </w:r>
      <w:r w:rsidRPr="00F23391">
        <w:t xml:space="preserve">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4E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3391" w:rsidP="00F23391"/>
    <w:sectPr w:rsidSect="00F233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91" w:rsidRPr="008503FD" w:rsidP="00850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FD" w:rsidP="00F23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3FD" w:rsidP="00F23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03FD" w:rsidP="00F23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391" w:rsidRPr="008503FD" w:rsidP="00850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FD" w:rsidRPr="002D2AF8" w:rsidP="00F23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FNSASIC301 Establish client relationship and analyse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503FD" w:rsidP="00F23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2E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7E2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5C1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391"/>
  </w:style>
  <w:style w:type="character" w:customStyle="1" w:styleId="Heading1Char">
    <w:name w:val="Heading 1 Char"/>
    <w:basedOn w:val="DefaultParagraphFont"/>
    <w:link w:val="Heading1"/>
    <w:rsid w:val="00F23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3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391"/>
    <w:rPr>
      <w:b/>
      <w:spacing w:val="0"/>
    </w:rPr>
  </w:style>
  <w:style w:type="paragraph" w:styleId="ListBullet2">
    <w:name w:val="List Bullet 2"/>
    <w:basedOn w:val="List2"/>
    <w:rsid w:val="00F233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3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391"/>
    <w:rPr>
      <w:i/>
    </w:rPr>
  </w:style>
  <w:style w:type="paragraph" w:styleId="Caption">
    <w:name w:val="caption"/>
    <w:basedOn w:val="BodyText"/>
    <w:next w:val="Normal"/>
    <w:qFormat/>
    <w:rsid w:val="00F23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391"/>
  </w:style>
  <w:style w:type="paragraph" w:styleId="TableofFigures">
    <w:name w:val="table of figures"/>
    <w:basedOn w:val="Normal"/>
    <w:next w:val="Normal"/>
    <w:semiHidden/>
    <w:rsid w:val="00F23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3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391"/>
    <w:rPr>
      <w:rFonts w:ascii="Wingdings" w:hAnsi="Wingdings"/>
    </w:rPr>
  </w:style>
  <w:style w:type="paragraph" w:customStyle="1" w:styleId="TableHeading">
    <w:name w:val="Table Heading"/>
    <w:basedOn w:val="HeadingBase"/>
    <w:rsid w:val="00F23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391"/>
    <w:rPr>
      <w:color w:val="0033CC"/>
      <w:u w:val="none"/>
    </w:rPr>
  </w:style>
  <w:style w:type="paragraph" w:customStyle="1" w:styleId="BodyTextRight">
    <w:name w:val="Body Text Right"/>
    <w:basedOn w:val="BodyText"/>
    <w:rsid w:val="00F23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3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391"/>
    <w:rPr>
      <w:sz w:val="32"/>
    </w:rPr>
  </w:style>
  <w:style w:type="paragraph" w:customStyle="1" w:styleId="HeadingProcedure">
    <w:name w:val="Heading Procedure"/>
    <w:basedOn w:val="HeadingBase"/>
    <w:next w:val="Normal"/>
    <w:rsid w:val="00F23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391"/>
    <w:pPr>
      <w:spacing w:before="60" w:after="60"/>
    </w:pPr>
  </w:style>
  <w:style w:type="paragraph" w:styleId="ListContinue">
    <w:name w:val="List Continue"/>
    <w:basedOn w:val="List"/>
    <w:rsid w:val="00F23391"/>
    <w:pPr>
      <w:ind w:firstLine="0"/>
    </w:pPr>
  </w:style>
  <w:style w:type="paragraph" w:customStyle="1" w:styleId="ListNote">
    <w:name w:val="List Note"/>
    <w:basedOn w:val="List"/>
    <w:rsid w:val="00F23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391"/>
    <w:rPr>
      <w:rFonts w:ascii="Courier New" w:hAnsi="Courier New"/>
    </w:rPr>
  </w:style>
  <w:style w:type="paragraph" w:customStyle="1" w:styleId="NoteBullet">
    <w:name w:val="Note Bullet"/>
    <w:basedOn w:val="Note"/>
    <w:rsid w:val="00F23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3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391"/>
    <w:rPr>
      <w:b/>
      <w:smallCaps/>
    </w:rPr>
  </w:style>
  <w:style w:type="paragraph" w:customStyle="1" w:styleId="TableListNumber">
    <w:name w:val="Table List Number"/>
    <w:basedOn w:val="ListNumber"/>
    <w:rsid w:val="00F23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391"/>
    <w:pPr>
      <w:numPr>
        <w:numId w:val="9"/>
      </w:numPr>
    </w:pPr>
  </w:style>
  <w:style w:type="paragraph" w:customStyle="1" w:styleId="ListAlpha2">
    <w:name w:val="List Alpha 2"/>
    <w:basedOn w:val="List2"/>
    <w:rsid w:val="00F23391"/>
    <w:pPr>
      <w:numPr>
        <w:numId w:val="8"/>
      </w:numPr>
    </w:pPr>
  </w:style>
  <w:style w:type="paragraph" w:styleId="List2">
    <w:name w:val="List 2"/>
    <w:basedOn w:val="BodyText"/>
    <w:rsid w:val="00F23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3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3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391"/>
    <w:pPr>
      <w:numPr>
        <w:numId w:val="4"/>
      </w:numPr>
    </w:pPr>
  </w:style>
  <w:style w:type="paragraph" w:styleId="ListContinue2">
    <w:name w:val="List Continue 2"/>
    <w:basedOn w:val="List2"/>
    <w:rsid w:val="00F23391"/>
    <w:pPr>
      <w:ind w:firstLine="0"/>
    </w:pPr>
  </w:style>
  <w:style w:type="paragraph" w:styleId="ListContinue3">
    <w:name w:val="List Continue 3"/>
    <w:basedOn w:val="List3"/>
    <w:rsid w:val="00F23391"/>
    <w:pPr>
      <w:ind w:left="1021" w:firstLine="0"/>
    </w:pPr>
  </w:style>
  <w:style w:type="paragraph" w:styleId="ListContinue4">
    <w:name w:val="List Continue 4"/>
    <w:basedOn w:val="List4"/>
    <w:rsid w:val="00F23391"/>
    <w:pPr>
      <w:ind w:firstLine="0"/>
    </w:pPr>
  </w:style>
  <w:style w:type="paragraph" w:styleId="ListContinue5">
    <w:name w:val="List Continue 5"/>
    <w:basedOn w:val="List5"/>
    <w:rsid w:val="00F23391"/>
    <w:pPr>
      <w:ind w:firstLine="0"/>
    </w:pPr>
  </w:style>
  <w:style w:type="paragraph" w:styleId="ListNumber3">
    <w:name w:val="List Number 3"/>
    <w:basedOn w:val="List3"/>
    <w:rsid w:val="00F23391"/>
    <w:pPr>
      <w:numPr>
        <w:numId w:val="5"/>
      </w:numPr>
    </w:pPr>
  </w:style>
  <w:style w:type="paragraph" w:styleId="ListNumber4">
    <w:name w:val="List Number 4"/>
    <w:basedOn w:val="List4"/>
    <w:rsid w:val="00F23391"/>
    <w:pPr>
      <w:numPr>
        <w:numId w:val="6"/>
      </w:numPr>
    </w:pPr>
  </w:style>
  <w:style w:type="paragraph" w:styleId="ListNumber5">
    <w:name w:val="List Number 5"/>
    <w:basedOn w:val="List5"/>
    <w:rsid w:val="00F23391"/>
    <w:pPr>
      <w:numPr>
        <w:numId w:val="7"/>
      </w:numPr>
    </w:pPr>
  </w:style>
  <w:style w:type="paragraph" w:styleId="BlockText">
    <w:name w:val="Block Text"/>
    <w:basedOn w:val="Normal"/>
    <w:rsid w:val="00F23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391"/>
    <w:rPr>
      <w:sz w:val="16"/>
      <w:vertAlign w:val="superscript"/>
    </w:rPr>
  </w:style>
  <w:style w:type="character" w:customStyle="1" w:styleId="Symbols">
    <w:name w:val="Symbols"/>
    <w:basedOn w:val="DefaultParagraphFont"/>
    <w:rsid w:val="00F23391"/>
    <w:rPr>
      <w:rFonts w:ascii="Symbol" w:hAnsi="Symbol"/>
    </w:rPr>
  </w:style>
  <w:style w:type="character" w:customStyle="1" w:styleId="MenuOptions">
    <w:name w:val="Menu Options"/>
    <w:basedOn w:val="DefaultParagraphFont"/>
    <w:rsid w:val="00F23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391"/>
    <w:rPr>
      <w:b/>
    </w:rPr>
  </w:style>
  <w:style w:type="character" w:customStyle="1" w:styleId="Underlined">
    <w:name w:val="Underlined"/>
    <w:basedOn w:val="DefaultParagraphFont"/>
    <w:rsid w:val="00F23391"/>
    <w:rPr>
      <w:u w:val="single"/>
    </w:rPr>
  </w:style>
  <w:style w:type="paragraph" w:customStyle="1" w:styleId="TableBodyTextRight">
    <w:name w:val="Table Body Text Right"/>
    <w:basedOn w:val="TableBodyText"/>
    <w:rsid w:val="00F23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391"/>
    <w:rPr>
      <w:sz w:val="18"/>
    </w:rPr>
  </w:style>
  <w:style w:type="paragraph" w:customStyle="1" w:styleId="BodySmallRight">
    <w:name w:val="Body Small Right"/>
    <w:basedOn w:val="BodyTextRight"/>
    <w:rsid w:val="00F23391"/>
    <w:rPr>
      <w:sz w:val="18"/>
      <w:szCs w:val="18"/>
    </w:rPr>
  </w:style>
  <w:style w:type="paragraph" w:customStyle="1" w:styleId="MarginEdition">
    <w:name w:val="Margin Edition"/>
    <w:basedOn w:val="MarginNote"/>
    <w:rsid w:val="00F23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391"/>
    <w:rPr>
      <w:sz w:val="2"/>
      <w:szCs w:val="2"/>
    </w:rPr>
  </w:style>
  <w:style w:type="character" w:customStyle="1" w:styleId="Small">
    <w:name w:val="Small"/>
    <w:basedOn w:val="DefaultParagraphFont"/>
    <w:rsid w:val="00F23391"/>
    <w:rPr>
      <w:sz w:val="16"/>
    </w:rPr>
  </w:style>
  <w:style w:type="paragraph" w:customStyle="1" w:styleId="WideTable">
    <w:name w:val="Wide Table"/>
    <w:basedOn w:val="Normal"/>
    <w:rsid w:val="00F23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391"/>
  </w:style>
  <w:style w:type="paragraph" w:styleId="Quote">
    <w:name w:val="Quote"/>
    <w:basedOn w:val="Heading1"/>
    <w:link w:val="QuoteChar"/>
    <w:qFormat/>
    <w:rsid w:val="00F23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391"/>
    <w:pPr>
      <w:pageBreakBefore/>
    </w:pPr>
  </w:style>
  <w:style w:type="paragraph" w:customStyle="1" w:styleId="Border">
    <w:name w:val="Border"/>
    <w:basedOn w:val="Normal"/>
    <w:qFormat/>
    <w:rsid w:val="00F23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391"/>
    <w:rPr>
      <w:u w:val="single"/>
    </w:rPr>
  </w:style>
  <w:style w:type="character" w:customStyle="1" w:styleId="BoldandItalics">
    <w:name w:val="Bold and Italics"/>
    <w:qFormat/>
    <w:rsid w:val="00F23391"/>
    <w:rPr>
      <w:b/>
      <w:i/>
      <w:u w:val="none"/>
    </w:rPr>
  </w:style>
  <w:style w:type="paragraph" w:styleId="BalloonText">
    <w:name w:val="Balloon Text"/>
    <w:basedOn w:val="Normal"/>
    <w:link w:val="BalloonTextChar"/>
    <w:rsid w:val="00F23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391"/>
    <w:pPr>
      <w:spacing w:before="0" w:after="0"/>
    </w:pPr>
  </w:style>
  <w:style w:type="paragraph" w:customStyle="1" w:styleId="BodyTextBold">
    <w:name w:val="Body Text Bold"/>
    <w:basedOn w:val="BodyText"/>
    <w:qFormat/>
    <w:rsid w:val="00F23391"/>
    <w:rPr>
      <w:b/>
    </w:rPr>
  </w:style>
  <w:style w:type="character" w:styleId="Hyperlink">
    <w:name w:val="Hyperlink"/>
    <w:basedOn w:val="DefaultParagraphFont"/>
    <w:uiPriority w:val="99"/>
    <w:unhideWhenUsed/>
    <w:rsid w:val="00850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3668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FNSASIC301 Establish client relationship and analyse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