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089" w:rsidP="00E73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FNSAML815 Manage assessment of organisation vulnerability to money laundering and terrorism financing</w:t>
      </w:r>
      <w:r>
        <w:fldChar w:fldCharType="end"/>
      </w:r>
    </w:p>
    <w:p w:rsidR="00E73089" w:rsidP="00E73089">
      <w:pPr>
        <w:pStyle w:val="Version"/>
        <w:sectPr w:rsidSect="003F1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9AF" w:rsidP="003F19AF">
      <w:pPr>
        <w:pStyle w:val="SuperHeading"/>
      </w:pPr>
      <w:r w:rsidRPr="003F19AF">
        <w:t>Assessment Re</w:t>
      </w:r>
      <w:r w:rsidRPr="003F19AF">
        <w:t>quirements for FNSAML815 Manage assessment of organisation vulnerability to money laundering and terrorism financing</w:t>
      </w:r>
    </w:p>
    <w:p w:rsidR="00000000" w:rsidRPr="003F19AF" w:rsidP="003F19AF">
      <w:pPr>
        <w:pStyle w:val="Heading1"/>
      </w:pPr>
      <w:bookmarkStart w:id="1" w:name="O_1074777"/>
      <w:bookmarkEnd w:id="1"/>
      <w:r w:rsidRPr="003F19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AF" w:rsidP="003F19AF">
            <w:pPr>
              <w:pStyle w:val="BodyText"/>
            </w:pPr>
            <w:r w:rsidRPr="003F19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AF">
            <w:pPr>
              <w:pStyle w:val="BodyText"/>
              <w:rPr>
                <w:lang w:val="en-NZ"/>
              </w:rPr>
            </w:pPr>
            <w:r w:rsidRPr="003F19AF">
              <w:rPr>
                <w:rStyle w:val="SpecialBold"/>
              </w:rPr>
              <w:t>Comments</w:t>
            </w:r>
          </w:p>
        </w:tc>
      </w:tr>
      <w:tr w:rsidTr="003F1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9AF">
            <w:pPr>
              <w:pStyle w:val="BodyText"/>
              <w:rPr>
                <w:lang w:val="en-NZ"/>
              </w:rPr>
            </w:pPr>
            <w:r w:rsidRPr="003F19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9AF" w:rsidP="003F19AF">
            <w:pPr>
              <w:pStyle w:val="BodyText"/>
            </w:pPr>
            <w:r w:rsidRPr="003F19AF">
              <w:t>This version first released with FNS Financial Services Training Package Version 4.0.</w:t>
            </w:r>
          </w:p>
        </w:tc>
      </w:tr>
    </w:tbl>
    <w:p w:rsidR="00000000" w:rsidRPr="003F19AF" w:rsidP="003F19AF">
      <w:pPr>
        <w:pStyle w:val="BodyText"/>
      </w:pPr>
    </w:p>
    <w:p w:rsidR="00000000" w:rsidRPr="003F19AF" w:rsidP="003F19AF">
      <w:pPr>
        <w:pStyle w:val="AllowPageBreak"/>
      </w:pPr>
    </w:p>
    <w:p w:rsidR="00000000" w:rsidRPr="003F19AF" w:rsidP="003F19AF">
      <w:pPr>
        <w:pStyle w:val="Heading1"/>
      </w:pPr>
      <w:bookmarkStart w:id="2" w:name="O_1074780"/>
      <w:bookmarkEnd w:id="2"/>
      <w:r w:rsidRPr="003F19AF">
        <w:t>Performance Evidence</w:t>
      </w:r>
    </w:p>
    <w:p w:rsidR="00000000" w:rsidRPr="003F19AF" w:rsidP="00E73089">
      <w:pPr>
        <w:pStyle w:val="BodyText"/>
      </w:pPr>
      <w:r w:rsidRPr="003F19AF">
        <w:t>The candidate must demonstrate the ability to complete the tasks outlined in the elements, performance criteria and foundation s</w:t>
      </w:r>
      <w:r w:rsidRPr="003F19AF">
        <w:t>kills of this unit, including evidence of the ability to:</w:t>
      </w:r>
    </w:p>
    <w:p w:rsidR="00000000" w:rsidRPr="003F19AF" w:rsidP="003F19AF">
      <w:pPr>
        <w:pStyle w:val="ListBullet"/>
      </w:pPr>
      <w:r w:rsidRPr="003F19AF">
        <w:t>manage assessment of at least two organisational financial products or services and their vulnerability to money laundering and terrorism.</w:t>
      </w:r>
    </w:p>
    <w:p w:rsidR="00000000" w:rsidRPr="003F19AF" w:rsidP="003F19AF">
      <w:pPr>
        <w:pStyle w:val="BodyText"/>
      </w:pPr>
    </w:p>
    <w:p w:rsidR="00000000" w:rsidRPr="003F19AF" w:rsidP="00E73089">
      <w:pPr>
        <w:pStyle w:val="BodyText"/>
      </w:pPr>
      <w:r w:rsidRPr="003F19AF">
        <w:t>In the course of the above, the candidate must:</w:t>
      </w:r>
    </w:p>
    <w:p w:rsidR="00000000" w:rsidRPr="003F19AF" w:rsidP="003F19AF">
      <w:pPr>
        <w:pStyle w:val="ListBullet"/>
      </w:pPr>
      <w:r w:rsidRPr="003F19AF">
        <w:t>research</w:t>
      </w:r>
      <w:r w:rsidRPr="003F19AF">
        <w:t xml:space="preserve"> and identify changes to financial products and services used by organisation and sector, including their features and compliance requirements</w:t>
      </w:r>
    </w:p>
    <w:p w:rsidR="00000000" w:rsidRPr="003F19AF" w:rsidP="003F19AF">
      <w:pPr>
        <w:pStyle w:val="ListBullet"/>
      </w:pPr>
      <w:r w:rsidRPr="003F19AF">
        <w:t>analyse organisational products and services for their potential use in money laundering and terrorism financing (ML/TF), and assess capability of organisational controls to address risk</w:t>
      </w:r>
    </w:p>
    <w:p w:rsidR="00000000" w:rsidRPr="003F19AF" w:rsidP="003F19AF">
      <w:pPr>
        <w:pStyle w:val="ListBullet"/>
      </w:pPr>
      <w:r w:rsidRPr="003F19AF">
        <w:t>document and report assessment findings in required format.</w:t>
      </w:r>
    </w:p>
    <w:p w:rsidR="00000000" w:rsidRPr="003F19AF" w:rsidP="003F19AF">
      <w:pPr>
        <w:pStyle w:val="AllowPageBreak"/>
      </w:pPr>
    </w:p>
    <w:p w:rsidR="00000000" w:rsidRPr="003F19AF" w:rsidP="003F19AF">
      <w:pPr>
        <w:pStyle w:val="Heading1"/>
      </w:pPr>
      <w:bookmarkStart w:id="3" w:name="O_1074779"/>
      <w:bookmarkEnd w:id="3"/>
      <w:r w:rsidRPr="003F19AF">
        <w:t>Knowledge Evidence</w:t>
      </w:r>
    </w:p>
    <w:p w:rsidR="00000000" w:rsidRPr="003F19AF" w:rsidP="00E73089">
      <w:pPr>
        <w:pStyle w:val="BodyText"/>
      </w:pPr>
      <w:r w:rsidRPr="003F19AF">
        <w:t>The candidate must be able to demonstrate knowledge to complete the tasks outlined in the elements, performance criteria and foundation skills of this unit, including knowledge of:</w:t>
      </w:r>
    </w:p>
    <w:p w:rsidR="00000000" w:rsidRPr="003F19AF" w:rsidP="003F19AF">
      <w:pPr>
        <w:pStyle w:val="ListBullet"/>
      </w:pPr>
      <w:r w:rsidRPr="003F19AF">
        <w:t>systems that can be accessed to obtain up-to-</w:t>
      </w:r>
      <w:r w:rsidRPr="003F19AF">
        <w:t>date information on products and services</w:t>
      </w:r>
    </w:p>
    <w:p w:rsidR="00000000" w:rsidRPr="003F19AF" w:rsidP="003F19AF">
      <w:pPr>
        <w:pStyle w:val="ListBullet"/>
      </w:pPr>
      <w:r w:rsidRPr="003F19AF">
        <w:t>financial products and services used by organisation and sector</w:t>
      </w:r>
    </w:p>
    <w:p w:rsidR="00000000" w:rsidRPr="003F19AF" w:rsidP="003F19AF">
      <w:pPr>
        <w:pStyle w:val="ListBullet"/>
      </w:pPr>
      <w:r w:rsidRPr="003F19AF">
        <w:t>compliance requirements for products and services used by organisation and sector</w:t>
      </w:r>
    </w:p>
    <w:p w:rsidR="00000000" w:rsidRPr="003F19AF" w:rsidP="003F19AF">
      <w:pPr>
        <w:pStyle w:val="ListBullet"/>
      </w:pPr>
      <w:r w:rsidRPr="003F19AF">
        <w:t>characteristics of products and services that make them vulnerable t</w:t>
      </w:r>
      <w:r w:rsidRPr="003F19AF">
        <w:t>o money laundering and terrorism financing (ML/TF)</w:t>
      </w:r>
    </w:p>
    <w:p w:rsidR="00000000" w:rsidRPr="003F19AF" w:rsidP="003F19AF">
      <w:pPr>
        <w:pStyle w:val="ListBullet"/>
      </w:pPr>
      <w:r w:rsidRPr="003F19AF">
        <w:t>anti-money laundering and counter terrorism (AML/CTF) controls</w:t>
      </w:r>
    </w:p>
    <w:p w:rsidR="00000000" w:rsidRPr="003F19AF" w:rsidP="003F19AF">
      <w:pPr>
        <w:pStyle w:val="ListBullet"/>
      </w:pPr>
      <w:r w:rsidRPr="003F19AF">
        <w:t>general client characteristics and needs for organisation and sector</w:t>
      </w:r>
    </w:p>
    <w:p w:rsidR="00000000" w:rsidRPr="003F19AF" w:rsidP="003F19AF">
      <w:pPr>
        <w:pStyle w:val="ListBullet"/>
      </w:pPr>
      <w:r w:rsidRPr="003F19AF">
        <w:t>emerging trends affecting financial services industry and financial produ</w:t>
      </w:r>
      <w:r w:rsidRPr="003F19AF">
        <w:t>cts</w:t>
      </w:r>
    </w:p>
    <w:p w:rsidR="00000000" w:rsidRPr="003F19AF" w:rsidP="003F19AF">
      <w:pPr>
        <w:pStyle w:val="ListBullet"/>
      </w:pPr>
      <w:r w:rsidRPr="003F19AF">
        <w:t>organisational reporting formats.</w:t>
      </w:r>
    </w:p>
    <w:p w:rsidR="00000000" w:rsidRPr="003F19AF" w:rsidP="003F19AF">
      <w:pPr>
        <w:pStyle w:val="AllowPageBreak"/>
      </w:pPr>
    </w:p>
    <w:p w:rsidR="00000000" w:rsidRPr="003F19AF" w:rsidP="003F19AF">
      <w:pPr>
        <w:pStyle w:val="Heading1"/>
      </w:pPr>
      <w:bookmarkStart w:id="4" w:name="O_1074778"/>
      <w:bookmarkEnd w:id="4"/>
      <w:r w:rsidRPr="003F19AF">
        <w:t>Assessment Conditions</w:t>
      </w:r>
    </w:p>
    <w:p w:rsidR="00000000" w:rsidRPr="003F19AF" w:rsidP="00E73089">
      <w:pPr>
        <w:pStyle w:val="BodyText"/>
      </w:pPr>
      <w:r w:rsidRPr="003F19AF">
        <w:t>Skills in this unit must be demonstrated in a workplace or simulated environment where the conditions are typical of those in a working environment in this industry.</w:t>
      </w:r>
    </w:p>
    <w:p w:rsidR="00000000" w:rsidRPr="003F19AF" w:rsidP="00E73089">
      <w:pPr>
        <w:pStyle w:val="BodyText"/>
      </w:pPr>
      <w:r w:rsidRPr="003F19AF">
        <w:t>This includ</w:t>
      </w:r>
      <w:r w:rsidRPr="003F19AF">
        <w:t>es access to:</w:t>
      </w:r>
    </w:p>
    <w:p w:rsidR="00000000" w:rsidRPr="003F19AF" w:rsidP="003F19AF">
      <w:pPr>
        <w:pStyle w:val="ListBullet"/>
      </w:pPr>
      <w:r w:rsidRPr="003F19AF">
        <w:t>legislation, regulations, standards and codes required to assess organisational vulnerability to ML/TF</w:t>
      </w:r>
    </w:p>
    <w:p w:rsidR="00000000" w:rsidRPr="003F19AF" w:rsidP="003F19AF">
      <w:pPr>
        <w:pStyle w:val="ListBullet"/>
      </w:pPr>
      <w:r w:rsidRPr="003F19AF">
        <w:t>organisational records, systems, policies and procedures required for the performance evidence.</w:t>
      </w:r>
    </w:p>
    <w:p w:rsidR="00000000" w:rsidRPr="003F19AF" w:rsidP="003F19AF">
      <w:pPr>
        <w:pStyle w:val="BodyText"/>
      </w:pPr>
    </w:p>
    <w:p w:rsidR="00000000" w:rsidRPr="003F19AF" w:rsidP="00E73089">
      <w:pPr>
        <w:pStyle w:val="BodyText"/>
      </w:pPr>
      <w:r w:rsidRPr="003F19AF">
        <w:t>Assessors of this unit must satisfy the r</w:t>
      </w:r>
      <w:r w:rsidRPr="003F19AF">
        <w:t>equirements for assessors in applicable vocational education and training legislation, frameworks and/or standards.</w:t>
      </w:r>
    </w:p>
    <w:p w:rsidR="00000000" w:rsidRPr="003F19AF" w:rsidP="003F19AF">
      <w:pPr>
        <w:pStyle w:val="Heading1"/>
      </w:pPr>
      <w:bookmarkStart w:id="5" w:name="O_1074776"/>
      <w:bookmarkEnd w:id="5"/>
      <w:r w:rsidRPr="003F19AF">
        <w:t>Links</w:t>
      </w:r>
    </w:p>
    <w:p w:rsidR="00000000" w:rsidRPr="003F19AF" w:rsidP="00E73089">
      <w:pPr>
        <w:pStyle w:val="BodyText"/>
      </w:pPr>
      <w:r w:rsidRPr="003F19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06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19AF" w:rsidP="003F19AF"/>
    <w:sectPr w:rsidSect="003F1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AF" w:rsidRPr="00E73089" w:rsidP="00E73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89" w:rsidP="003F1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089" w:rsidP="003F1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3089" w:rsidP="003F1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9AF" w:rsidRPr="00E73089" w:rsidP="00E73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89" w:rsidRPr="002D2AF8" w:rsidP="003F1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FNSAML815 Manage assessment of organisation vulnerability to money laundering and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73089" w:rsidP="003F1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CE8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0A1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9AF"/>
  </w:style>
  <w:style w:type="character" w:customStyle="1" w:styleId="Heading1Char">
    <w:name w:val="Heading 1 Char"/>
    <w:basedOn w:val="DefaultParagraphFont"/>
    <w:link w:val="Heading1"/>
    <w:rsid w:val="003F1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9AF"/>
    <w:rPr>
      <w:b/>
      <w:spacing w:val="0"/>
    </w:rPr>
  </w:style>
  <w:style w:type="paragraph" w:customStyle="1" w:styleId="SuperHeading">
    <w:name w:val="SuperHeading"/>
    <w:basedOn w:val="Normal"/>
    <w:rsid w:val="003F1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9AF"/>
    <w:rPr>
      <w:i/>
    </w:rPr>
  </w:style>
  <w:style w:type="paragraph" w:styleId="Caption">
    <w:name w:val="caption"/>
    <w:basedOn w:val="BodyText"/>
    <w:next w:val="Normal"/>
    <w:qFormat/>
    <w:rsid w:val="003F1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9AF"/>
  </w:style>
  <w:style w:type="paragraph" w:styleId="TableofFigures">
    <w:name w:val="table of figures"/>
    <w:basedOn w:val="Normal"/>
    <w:next w:val="Normal"/>
    <w:semiHidden/>
    <w:rsid w:val="003F1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9AF"/>
    <w:rPr>
      <w:rFonts w:ascii="Wingdings" w:hAnsi="Wingdings"/>
    </w:rPr>
  </w:style>
  <w:style w:type="paragraph" w:customStyle="1" w:styleId="TableHeading">
    <w:name w:val="Table Heading"/>
    <w:basedOn w:val="HeadingBase"/>
    <w:rsid w:val="003F1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9AF"/>
    <w:rPr>
      <w:color w:val="0033CC"/>
      <w:u w:val="none"/>
    </w:rPr>
  </w:style>
  <w:style w:type="paragraph" w:customStyle="1" w:styleId="BodyTextRight">
    <w:name w:val="Body Text Right"/>
    <w:basedOn w:val="BodyText"/>
    <w:rsid w:val="003F1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9AF"/>
    <w:rPr>
      <w:sz w:val="32"/>
    </w:rPr>
  </w:style>
  <w:style w:type="paragraph" w:customStyle="1" w:styleId="HeadingProcedure">
    <w:name w:val="Heading Procedure"/>
    <w:basedOn w:val="HeadingBase"/>
    <w:next w:val="Normal"/>
    <w:rsid w:val="003F1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9AF"/>
    <w:pPr>
      <w:spacing w:before="60" w:after="60"/>
    </w:pPr>
  </w:style>
  <w:style w:type="paragraph" w:styleId="ListContinue">
    <w:name w:val="List Continue"/>
    <w:basedOn w:val="List"/>
    <w:rsid w:val="003F19AF"/>
    <w:pPr>
      <w:ind w:firstLine="0"/>
    </w:pPr>
  </w:style>
  <w:style w:type="paragraph" w:customStyle="1" w:styleId="ListNote">
    <w:name w:val="List Note"/>
    <w:basedOn w:val="List"/>
    <w:rsid w:val="003F1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9AF"/>
    <w:rPr>
      <w:rFonts w:ascii="Courier New" w:hAnsi="Courier New"/>
    </w:rPr>
  </w:style>
  <w:style w:type="paragraph" w:customStyle="1" w:styleId="NoteBullet">
    <w:name w:val="Note Bullet"/>
    <w:basedOn w:val="Note"/>
    <w:rsid w:val="003F1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9AF"/>
    <w:rPr>
      <w:b/>
      <w:smallCaps/>
    </w:rPr>
  </w:style>
  <w:style w:type="paragraph" w:customStyle="1" w:styleId="TableListNumber">
    <w:name w:val="Table List Number"/>
    <w:basedOn w:val="ListNumber"/>
    <w:rsid w:val="003F1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9AF"/>
    <w:pPr>
      <w:numPr>
        <w:numId w:val="8"/>
      </w:numPr>
    </w:pPr>
  </w:style>
  <w:style w:type="paragraph" w:customStyle="1" w:styleId="ListAlpha2">
    <w:name w:val="List Alpha 2"/>
    <w:basedOn w:val="List2"/>
    <w:rsid w:val="003F19AF"/>
    <w:pPr>
      <w:numPr>
        <w:numId w:val="7"/>
      </w:numPr>
    </w:pPr>
  </w:style>
  <w:style w:type="paragraph" w:styleId="List2">
    <w:name w:val="List 2"/>
    <w:basedOn w:val="BodyText"/>
    <w:rsid w:val="003F1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9AF"/>
    <w:pPr>
      <w:numPr>
        <w:numId w:val="3"/>
      </w:numPr>
    </w:pPr>
  </w:style>
  <w:style w:type="paragraph" w:styleId="ListContinue2">
    <w:name w:val="List Continue 2"/>
    <w:basedOn w:val="List2"/>
    <w:rsid w:val="003F19AF"/>
    <w:pPr>
      <w:ind w:firstLine="0"/>
    </w:pPr>
  </w:style>
  <w:style w:type="paragraph" w:styleId="ListContinue3">
    <w:name w:val="List Continue 3"/>
    <w:basedOn w:val="List3"/>
    <w:rsid w:val="003F19AF"/>
    <w:pPr>
      <w:ind w:left="1021" w:firstLine="0"/>
    </w:pPr>
  </w:style>
  <w:style w:type="paragraph" w:styleId="ListContinue4">
    <w:name w:val="List Continue 4"/>
    <w:basedOn w:val="List4"/>
    <w:rsid w:val="003F19AF"/>
    <w:pPr>
      <w:ind w:firstLine="0"/>
    </w:pPr>
  </w:style>
  <w:style w:type="paragraph" w:styleId="ListContinue5">
    <w:name w:val="List Continue 5"/>
    <w:basedOn w:val="List5"/>
    <w:rsid w:val="003F19AF"/>
    <w:pPr>
      <w:ind w:firstLine="0"/>
    </w:pPr>
  </w:style>
  <w:style w:type="paragraph" w:styleId="ListNumber3">
    <w:name w:val="List Number 3"/>
    <w:basedOn w:val="List3"/>
    <w:rsid w:val="003F19AF"/>
    <w:pPr>
      <w:numPr>
        <w:numId w:val="4"/>
      </w:numPr>
    </w:pPr>
  </w:style>
  <w:style w:type="paragraph" w:styleId="ListNumber4">
    <w:name w:val="List Number 4"/>
    <w:basedOn w:val="List4"/>
    <w:rsid w:val="003F19AF"/>
    <w:pPr>
      <w:numPr>
        <w:numId w:val="5"/>
      </w:numPr>
    </w:pPr>
  </w:style>
  <w:style w:type="paragraph" w:styleId="ListNumber5">
    <w:name w:val="List Number 5"/>
    <w:basedOn w:val="List5"/>
    <w:rsid w:val="003F19AF"/>
    <w:pPr>
      <w:numPr>
        <w:numId w:val="6"/>
      </w:numPr>
    </w:pPr>
  </w:style>
  <w:style w:type="paragraph" w:styleId="BlockText">
    <w:name w:val="Block Text"/>
    <w:basedOn w:val="Normal"/>
    <w:rsid w:val="003F1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9AF"/>
    <w:rPr>
      <w:sz w:val="16"/>
      <w:vertAlign w:val="superscript"/>
    </w:rPr>
  </w:style>
  <w:style w:type="character" w:customStyle="1" w:styleId="Symbols">
    <w:name w:val="Symbols"/>
    <w:basedOn w:val="DefaultParagraphFont"/>
    <w:rsid w:val="003F19AF"/>
    <w:rPr>
      <w:rFonts w:ascii="Symbol" w:hAnsi="Symbol"/>
    </w:rPr>
  </w:style>
  <w:style w:type="character" w:customStyle="1" w:styleId="MenuOptions">
    <w:name w:val="Menu Options"/>
    <w:basedOn w:val="DefaultParagraphFont"/>
    <w:rsid w:val="003F1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9AF"/>
    <w:rPr>
      <w:b/>
    </w:rPr>
  </w:style>
  <w:style w:type="character" w:customStyle="1" w:styleId="Underlined">
    <w:name w:val="Underlined"/>
    <w:basedOn w:val="DefaultParagraphFont"/>
    <w:rsid w:val="003F19AF"/>
    <w:rPr>
      <w:u w:val="single"/>
    </w:rPr>
  </w:style>
  <w:style w:type="paragraph" w:customStyle="1" w:styleId="TableBodyTextRight">
    <w:name w:val="Table Body Text Right"/>
    <w:basedOn w:val="TableBodyText"/>
    <w:rsid w:val="003F1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9AF"/>
    <w:rPr>
      <w:sz w:val="18"/>
    </w:rPr>
  </w:style>
  <w:style w:type="paragraph" w:customStyle="1" w:styleId="BodySmallRight">
    <w:name w:val="Body Small Right"/>
    <w:basedOn w:val="BodyTextRight"/>
    <w:rsid w:val="003F19AF"/>
    <w:rPr>
      <w:sz w:val="18"/>
      <w:szCs w:val="18"/>
    </w:rPr>
  </w:style>
  <w:style w:type="paragraph" w:customStyle="1" w:styleId="MarginEdition">
    <w:name w:val="Margin Edition"/>
    <w:basedOn w:val="MarginNote"/>
    <w:rsid w:val="003F1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9AF"/>
    <w:rPr>
      <w:sz w:val="2"/>
      <w:szCs w:val="2"/>
    </w:rPr>
  </w:style>
  <w:style w:type="character" w:customStyle="1" w:styleId="Small">
    <w:name w:val="Small"/>
    <w:basedOn w:val="DefaultParagraphFont"/>
    <w:rsid w:val="003F19AF"/>
    <w:rPr>
      <w:sz w:val="16"/>
    </w:rPr>
  </w:style>
  <w:style w:type="paragraph" w:customStyle="1" w:styleId="WideTable">
    <w:name w:val="Wide Table"/>
    <w:basedOn w:val="Normal"/>
    <w:rsid w:val="003F1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9AF"/>
  </w:style>
  <w:style w:type="paragraph" w:styleId="Quote">
    <w:name w:val="Quote"/>
    <w:basedOn w:val="Heading1"/>
    <w:link w:val="QuoteChar"/>
    <w:qFormat/>
    <w:rsid w:val="003F1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9AF"/>
    <w:pPr>
      <w:pageBreakBefore/>
    </w:pPr>
  </w:style>
  <w:style w:type="paragraph" w:customStyle="1" w:styleId="Border">
    <w:name w:val="Border"/>
    <w:basedOn w:val="Normal"/>
    <w:qFormat/>
    <w:rsid w:val="003F1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9AF"/>
    <w:rPr>
      <w:u w:val="single"/>
    </w:rPr>
  </w:style>
  <w:style w:type="character" w:customStyle="1" w:styleId="BoldandItalics">
    <w:name w:val="Bold and Italics"/>
    <w:qFormat/>
    <w:rsid w:val="003F19AF"/>
    <w:rPr>
      <w:b/>
      <w:i/>
      <w:u w:val="none"/>
    </w:rPr>
  </w:style>
  <w:style w:type="paragraph" w:styleId="BalloonText">
    <w:name w:val="Balloon Text"/>
    <w:basedOn w:val="Normal"/>
    <w:link w:val="BalloonTextChar"/>
    <w:rsid w:val="003F1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9AF"/>
    <w:pPr>
      <w:spacing w:before="0" w:after="0"/>
    </w:pPr>
  </w:style>
  <w:style w:type="paragraph" w:customStyle="1" w:styleId="BodyTextBold">
    <w:name w:val="Body Text Bold"/>
    <w:basedOn w:val="BodyText"/>
    <w:qFormat/>
    <w:rsid w:val="003F19AF"/>
    <w:rPr>
      <w:b/>
    </w:rPr>
  </w:style>
  <w:style w:type="character" w:styleId="Hyperlink">
    <w:name w:val="Hyperlink"/>
    <w:basedOn w:val="DefaultParagraphFont"/>
    <w:uiPriority w:val="99"/>
    <w:unhideWhenUsed/>
    <w:rsid w:val="00E73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2515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FNSAML815 Manage assessment of organisation vulnerability to money laundering and terrorism financing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