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FF5" w:rsidP="002F5F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FNSAML814 Design customer due diligence policies and procedures</w:t>
      </w:r>
      <w:r>
        <w:fldChar w:fldCharType="end"/>
      </w:r>
    </w:p>
    <w:p w:rsidR="002F5FF5" w:rsidP="002F5FF5">
      <w:pPr>
        <w:pStyle w:val="Version"/>
        <w:sectPr w:rsidSect="001A1B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BB7" w:rsidP="001A1BB7">
      <w:pPr>
        <w:pStyle w:val="SuperHeading"/>
      </w:pPr>
      <w:r w:rsidRPr="001A1BB7">
        <w:t>Assessment Requirements for FNSAML814 Design customer due diligence policies and procedures</w:t>
      </w:r>
    </w:p>
    <w:p w:rsidR="00000000" w:rsidRPr="001A1BB7" w:rsidP="001A1BB7">
      <w:pPr>
        <w:pStyle w:val="Heading1"/>
      </w:pPr>
      <w:bookmarkStart w:id="1" w:name="O_1074761"/>
      <w:bookmarkEnd w:id="1"/>
      <w:r w:rsidRPr="001A1B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A1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BB7" w:rsidP="001A1BB7">
            <w:pPr>
              <w:pStyle w:val="BodyText"/>
            </w:pPr>
            <w:r w:rsidRPr="001A1B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B7">
            <w:pPr>
              <w:pStyle w:val="BodyText"/>
              <w:rPr>
                <w:lang w:val="en-NZ"/>
              </w:rPr>
            </w:pPr>
            <w:r w:rsidRPr="001A1BB7">
              <w:rPr>
                <w:rStyle w:val="SpecialBold"/>
              </w:rPr>
              <w:t>Comments</w:t>
            </w:r>
          </w:p>
        </w:tc>
      </w:tr>
      <w:tr w:rsidTr="001A1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B7">
            <w:pPr>
              <w:pStyle w:val="BodyText"/>
              <w:rPr>
                <w:lang w:val="en-NZ"/>
              </w:rPr>
            </w:pPr>
            <w:r w:rsidRPr="001A1B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BB7" w:rsidP="001A1BB7">
            <w:pPr>
              <w:pStyle w:val="BodyText"/>
            </w:pPr>
            <w:r w:rsidRPr="001A1BB7">
              <w:t>This version first released with FNS Financial Services Training Package Version 4.0.</w:t>
            </w:r>
          </w:p>
        </w:tc>
      </w:tr>
    </w:tbl>
    <w:p w:rsidR="00000000" w:rsidRPr="001A1BB7" w:rsidP="001A1BB7">
      <w:pPr>
        <w:pStyle w:val="BodyText"/>
      </w:pPr>
    </w:p>
    <w:p w:rsidR="00000000" w:rsidRPr="001A1BB7" w:rsidP="001A1BB7">
      <w:pPr>
        <w:pStyle w:val="AllowPageBreak"/>
      </w:pPr>
    </w:p>
    <w:p w:rsidR="00000000" w:rsidRPr="001A1BB7" w:rsidP="001A1BB7">
      <w:pPr>
        <w:pStyle w:val="Heading1"/>
      </w:pPr>
      <w:bookmarkStart w:id="2" w:name="O_1074764"/>
      <w:bookmarkEnd w:id="2"/>
      <w:r w:rsidRPr="001A1BB7">
        <w:t>Performance Evidence</w:t>
      </w:r>
    </w:p>
    <w:p w:rsidR="00000000" w:rsidRPr="001A1BB7" w:rsidP="002F5FF5">
      <w:pPr>
        <w:pStyle w:val="BodyText"/>
      </w:pPr>
      <w:r w:rsidRPr="001A1BB7">
        <w:t>The candidate must demonstrate the ability to complete the tasks outlined in the elements, performance criteria and foundation skills of this unit, including evidence of the ability to:</w:t>
      </w:r>
    </w:p>
    <w:p w:rsidR="00000000" w:rsidRPr="001A1BB7" w:rsidP="001A1BB7">
      <w:pPr>
        <w:pStyle w:val="ListBullet"/>
      </w:pPr>
      <w:r w:rsidRPr="001A1BB7">
        <w:t>design an organisational proce</w:t>
      </w:r>
      <w:r w:rsidRPr="001A1BB7">
        <w:t>ss for customer due diligence that includes customer identification, identifying and monitoring customer behaviour and controls for the processes.</w:t>
      </w:r>
    </w:p>
    <w:p w:rsidR="00000000" w:rsidRPr="001A1BB7" w:rsidP="001A1BB7">
      <w:pPr>
        <w:pStyle w:val="BodyText"/>
      </w:pPr>
    </w:p>
    <w:p w:rsidR="00000000" w:rsidRPr="001A1BB7" w:rsidP="002F5FF5">
      <w:pPr>
        <w:pStyle w:val="BodyText"/>
      </w:pPr>
      <w:r w:rsidRPr="001A1BB7">
        <w:t>In the course of the above, the candidate must:</w:t>
      </w:r>
    </w:p>
    <w:p w:rsidR="00000000" w:rsidRPr="001A1BB7" w:rsidP="001A1BB7">
      <w:pPr>
        <w:pStyle w:val="ListBullet"/>
      </w:pPr>
      <w:r w:rsidRPr="001A1BB7">
        <w:t>document customer due diligence processes clearly using org</w:t>
      </w:r>
      <w:r w:rsidRPr="001A1BB7">
        <w:t>anisational formats and protocols.</w:t>
      </w:r>
    </w:p>
    <w:p w:rsidR="00000000" w:rsidRPr="001A1BB7" w:rsidP="001A1BB7">
      <w:pPr>
        <w:pStyle w:val="AllowPageBreak"/>
      </w:pPr>
    </w:p>
    <w:p w:rsidR="00000000" w:rsidRPr="001A1BB7" w:rsidP="001A1BB7">
      <w:pPr>
        <w:pStyle w:val="Heading1"/>
      </w:pPr>
      <w:bookmarkStart w:id="3" w:name="O_1074763"/>
      <w:bookmarkEnd w:id="3"/>
      <w:r w:rsidRPr="001A1BB7">
        <w:t>Knowledge Evidence</w:t>
      </w:r>
    </w:p>
    <w:p w:rsidR="00000000" w:rsidRPr="001A1BB7" w:rsidP="002F5FF5">
      <w:pPr>
        <w:pStyle w:val="BodyText"/>
      </w:pPr>
      <w:r w:rsidRPr="001A1BB7">
        <w:t>The candidate must be able to demonstrate knowledge to complete the tasks outlined in the elements, performance criteria and foundation skills of this unit, including knowledge of:</w:t>
      </w:r>
    </w:p>
    <w:p w:rsidR="00000000" w:rsidRPr="001A1BB7" w:rsidP="001A1BB7">
      <w:pPr>
        <w:pStyle w:val="ListBullet"/>
      </w:pPr>
      <w:r w:rsidRPr="001A1BB7">
        <w:t>customer behaviour identification and monitoring processes and controls</w:t>
      </w:r>
    </w:p>
    <w:p w:rsidR="00000000" w:rsidRPr="001A1BB7" w:rsidP="001A1BB7">
      <w:pPr>
        <w:pStyle w:val="ListBullet"/>
      </w:pPr>
      <w:r w:rsidRPr="001A1BB7">
        <w:t>organisational assurance governance procedures for client identification and money laundering and terrorism financing (ML/TF) risk processes</w:t>
      </w:r>
    </w:p>
    <w:p w:rsidR="00000000" w:rsidRPr="001A1BB7" w:rsidP="001A1BB7">
      <w:pPr>
        <w:pStyle w:val="ListBullet"/>
      </w:pPr>
      <w:r w:rsidRPr="001A1BB7">
        <w:t>organisational processes and procedures for</w:t>
      </w:r>
      <w:r w:rsidRPr="001A1BB7">
        <w:t>:</w:t>
      </w:r>
    </w:p>
    <w:p w:rsidR="00000000" w:rsidRPr="001A1BB7" w:rsidP="001A1BB7">
      <w:pPr>
        <w:pStyle w:val="ListBullet2"/>
      </w:pPr>
      <w:r w:rsidRPr="001A1BB7">
        <w:t>documenting designed due diligence policies and procedures</w:t>
      </w:r>
    </w:p>
    <w:p w:rsidR="00000000" w:rsidRPr="001A1BB7" w:rsidP="001A1BB7">
      <w:pPr>
        <w:pStyle w:val="ListBullet2"/>
      </w:pPr>
      <w:r w:rsidRPr="001A1BB7">
        <w:t>designing processes for risk rating clients</w:t>
      </w:r>
    </w:p>
    <w:p w:rsidR="00000000" w:rsidRPr="001A1BB7" w:rsidP="001A1BB7">
      <w:pPr>
        <w:pStyle w:val="ListBullet"/>
      </w:pPr>
      <w:r w:rsidRPr="001A1BB7">
        <w:t>assurance procedures for customer identification processes</w:t>
      </w:r>
    </w:p>
    <w:p w:rsidR="00000000" w:rsidRPr="001A1BB7" w:rsidP="001A1BB7">
      <w:pPr>
        <w:pStyle w:val="ListBullet"/>
      </w:pPr>
      <w:r w:rsidRPr="001A1BB7">
        <w:t>regulatory and industry requirements for anti-money laundering and counter terrorism finan</w:t>
      </w:r>
      <w:r w:rsidRPr="001A1BB7">
        <w:t>cing (AML/CTF).</w:t>
      </w:r>
    </w:p>
    <w:p w:rsidR="00000000" w:rsidRPr="001A1BB7" w:rsidP="001A1BB7">
      <w:pPr>
        <w:pStyle w:val="AllowPageBreak"/>
      </w:pPr>
    </w:p>
    <w:p w:rsidR="00000000" w:rsidRPr="001A1BB7" w:rsidP="001A1BB7">
      <w:pPr>
        <w:pStyle w:val="Heading1"/>
      </w:pPr>
      <w:bookmarkStart w:id="4" w:name="O_1074762"/>
      <w:bookmarkEnd w:id="4"/>
      <w:r w:rsidRPr="001A1BB7">
        <w:t>Assessment Conditions</w:t>
      </w:r>
    </w:p>
    <w:p w:rsidR="00000000" w:rsidRPr="001A1BB7" w:rsidP="002F5FF5">
      <w:pPr>
        <w:pStyle w:val="BodyText"/>
      </w:pPr>
      <w:r w:rsidRPr="001A1BB7">
        <w:t>Skills in this unit must be demonstrated in a workplace or simulated environment where the conditions are typical of those in a working environment in this industry.</w:t>
      </w:r>
    </w:p>
    <w:p w:rsidR="00000000" w:rsidRPr="001A1BB7" w:rsidP="002F5FF5">
      <w:pPr>
        <w:pStyle w:val="BodyText"/>
      </w:pPr>
      <w:r w:rsidRPr="001A1BB7">
        <w:t>This includes access to:</w:t>
      </w:r>
    </w:p>
    <w:p w:rsidR="00000000" w:rsidRPr="001A1BB7" w:rsidP="001A1BB7">
      <w:pPr>
        <w:pStyle w:val="ListBullet"/>
      </w:pPr>
      <w:r w:rsidRPr="001A1BB7">
        <w:t>legislation, regulations, standards and codes required to produce the performance evidence</w:t>
      </w:r>
    </w:p>
    <w:p w:rsidR="00000000" w:rsidRPr="001A1BB7" w:rsidP="001A1BB7">
      <w:pPr>
        <w:pStyle w:val="ListBullet"/>
      </w:pPr>
      <w:r w:rsidRPr="001A1BB7">
        <w:t>organisational records, policies and procedures required to produce the performance evidence.</w:t>
      </w:r>
    </w:p>
    <w:p w:rsidR="00000000" w:rsidRPr="001A1BB7" w:rsidP="001A1BB7">
      <w:pPr>
        <w:pStyle w:val="BodyText"/>
      </w:pPr>
    </w:p>
    <w:p w:rsidR="00000000" w:rsidRPr="001A1BB7" w:rsidP="002F5FF5">
      <w:pPr>
        <w:pStyle w:val="BodyText"/>
      </w:pPr>
      <w:r w:rsidRPr="001A1BB7">
        <w:t xml:space="preserve">Assessors of this unit must satisfy the requirements for assessors in </w:t>
      </w:r>
      <w:r w:rsidRPr="001A1BB7">
        <w:t>applicable vocational education and training legislation, frameworks and/or standards.</w:t>
      </w:r>
    </w:p>
    <w:p w:rsidR="00000000" w:rsidRPr="001A1BB7" w:rsidP="001A1BB7">
      <w:pPr>
        <w:pStyle w:val="Heading1"/>
      </w:pPr>
      <w:bookmarkStart w:id="5" w:name="O_1074760"/>
      <w:bookmarkEnd w:id="5"/>
      <w:r w:rsidRPr="001A1BB7">
        <w:t>Links</w:t>
      </w:r>
    </w:p>
    <w:p w:rsidR="00000000" w:rsidRPr="001A1BB7" w:rsidP="002F5FF5">
      <w:pPr>
        <w:pStyle w:val="BodyText"/>
      </w:pPr>
      <w:r w:rsidRPr="001A1B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9261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A1BB7" w:rsidP="001A1BB7"/>
    <w:sectPr w:rsidSect="001A1B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B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BB7" w:rsidRPr="002F5FF5" w:rsidP="002F5F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B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FF5" w:rsidP="001A1B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5FF5" w:rsidP="001A1B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5FF5" w:rsidP="001A1B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B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F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BB7" w:rsidRPr="002F5FF5" w:rsidP="002F5F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B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FF5" w:rsidRPr="002D2AF8" w:rsidP="001A1B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FNSAML814 Design customer due diligence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F5FF5" w:rsidP="001A1B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EE08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44E0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963C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B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B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B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B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B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B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B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B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B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B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B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BB7"/>
  </w:style>
  <w:style w:type="character" w:customStyle="1" w:styleId="Heading1Char">
    <w:name w:val="Heading 1 Char"/>
    <w:basedOn w:val="DefaultParagraphFont"/>
    <w:link w:val="Heading1"/>
    <w:rsid w:val="001A1B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B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B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B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1BB7"/>
    <w:rPr>
      <w:b/>
      <w:spacing w:val="0"/>
    </w:rPr>
  </w:style>
  <w:style w:type="paragraph" w:styleId="ListBullet2">
    <w:name w:val="List Bullet 2"/>
    <w:basedOn w:val="List2"/>
    <w:rsid w:val="001A1B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1B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B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1B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B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B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B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B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B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B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B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B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B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B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B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B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B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B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B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1B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B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B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B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B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B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B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B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B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B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B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B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1BB7"/>
    <w:rPr>
      <w:i/>
    </w:rPr>
  </w:style>
  <w:style w:type="paragraph" w:styleId="Caption">
    <w:name w:val="caption"/>
    <w:basedOn w:val="BodyText"/>
    <w:next w:val="Normal"/>
    <w:qFormat/>
    <w:rsid w:val="001A1B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B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B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BB7"/>
  </w:style>
  <w:style w:type="paragraph" w:styleId="TableofFigures">
    <w:name w:val="table of figures"/>
    <w:basedOn w:val="Normal"/>
    <w:next w:val="Normal"/>
    <w:semiHidden/>
    <w:rsid w:val="001A1B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B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1BB7"/>
    <w:rPr>
      <w:rFonts w:ascii="Wingdings" w:hAnsi="Wingdings"/>
    </w:rPr>
  </w:style>
  <w:style w:type="paragraph" w:customStyle="1" w:styleId="TableHeading">
    <w:name w:val="Table Heading"/>
    <w:basedOn w:val="HeadingBase"/>
    <w:rsid w:val="001A1B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BB7"/>
    <w:rPr>
      <w:color w:val="0033CC"/>
      <w:u w:val="none"/>
    </w:rPr>
  </w:style>
  <w:style w:type="paragraph" w:customStyle="1" w:styleId="BodyTextRight">
    <w:name w:val="Body Text Right"/>
    <w:basedOn w:val="BodyText"/>
    <w:rsid w:val="001A1B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B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B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B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B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B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BB7"/>
    <w:rPr>
      <w:sz w:val="32"/>
    </w:rPr>
  </w:style>
  <w:style w:type="paragraph" w:customStyle="1" w:styleId="HeadingProcedure">
    <w:name w:val="Heading Procedure"/>
    <w:basedOn w:val="HeadingBase"/>
    <w:next w:val="Normal"/>
    <w:rsid w:val="001A1B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BB7"/>
    <w:pPr>
      <w:spacing w:before="60" w:after="60"/>
    </w:pPr>
  </w:style>
  <w:style w:type="paragraph" w:styleId="ListContinue">
    <w:name w:val="List Continue"/>
    <w:basedOn w:val="List"/>
    <w:rsid w:val="001A1BB7"/>
    <w:pPr>
      <w:ind w:firstLine="0"/>
    </w:pPr>
  </w:style>
  <w:style w:type="paragraph" w:customStyle="1" w:styleId="ListNote">
    <w:name w:val="List Note"/>
    <w:basedOn w:val="List"/>
    <w:rsid w:val="001A1B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B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B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BB7"/>
    <w:rPr>
      <w:rFonts w:ascii="Courier New" w:hAnsi="Courier New"/>
    </w:rPr>
  </w:style>
  <w:style w:type="paragraph" w:customStyle="1" w:styleId="NoteBullet">
    <w:name w:val="Note Bullet"/>
    <w:basedOn w:val="Note"/>
    <w:rsid w:val="001A1B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B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B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B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B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1B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B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BB7"/>
    <w:rPr>
      <w:b/>
      <w:smallCaps/>
    </w:rPr>
  </w:style>
  <w:style w:type="paragraph" w:customStyle="1" w:styleId="TableListNumber">
    <w:name w:val="Table List Number"/>
    <w:basedOn w:val="ListNumber"/>
    <w:rsid w:val="001A1B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B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BB7"/>
    <w:pPr>
      <w:numPr>
        <w:numId w:val="9"/>
      </w:numPr>
    </w:pPr>
  </w:style>
  <w:style w:type="paragraph" w:customStyle="1" w:styleId="ListAlpha2">
    <w:name w:val="List Alpha 2"/>
    <w:basedOn w:val="List2"/>
    <w:rsid w:val="001A1BB7"/>
    <w:pPr>
      <w:numPr>
        <w:numId w:val="8"/>
      </w:numPr>
    </w:pPr>
  </w:style>
  <w:style w:type="paragraph" w:styleId="List2">
    <w:name w:val="List 2"/>
    <w:basedOn w:val="BodyText"/>
    <w:rsid w:val="001A1B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B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B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B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B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B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1BB7"/>
    <w:pPr>
      <w:numPr>
        <w:numId w:val="4"/>
      </w:numPr>
    </w:pPr>
  </w:style>
  <w:style w:type="paragraph" w:styleId="ListContinue2">
    <w:name w:val="List Continue 2"/>
    <w:basedOn w:val="List2"/>
    <w:rsid w:val="001A1BB7"/>
    <w:pPr>
      <w:ind w:firstLine="0"/>
    </w:pPr>
  </w:style>
  <w:style w:type="paragraph" w:styleId="ListContinue3">
    <w:name w:val="List Continue 3"/>
    <w:basedOn w:val="List3"/>
    <w:rsid w:val="001A1BB7"/>
    <w:pPr>
      <w:ind w:left="1021" w:firstLine="0"/>
    </w:pPr>
  </w:style>
  <w:style w:type="paragraph" w:styleId="ListContinue4">
    <w:name w:val="List Continue 4"/>
    <w:basedOn w:val="List4"/>
    <w:rsid w:val="001A1BB7"/>
    <w:pPr>
      <w:ind w:firstLine="0"/>
    </w:pPr>
  </w:style>
  <w:style w:type="paragraph" w:styleId="ListContinue5">
    <w:name w:val="List Continue 5"/>
    <w:basedOn w:val="List5"/>
    <w:rsid w:val="001A1BB7"/>
    <w:pPr>
      <w:ind w:firstLine="0"/>
    </w:pPr>
  </w:style>
  <w:style w:type="paragraph" w:styleId="ListNumber3">
    <w:name w:val="List Number 3"/>
    <w:basedOn w:val="List3"/>
    <w:rsid w:val="001A1BB7"/>
    <w:pPr>
      <w:numPr>
        <w:numId w:val="5"/>
      </w:numPr>
    </w:pPr>
  </w:style>
  <w:style w:type="paragraph" w:styleId="ListNumber4">
    <w:name w:val="List Number 4"/>
    <w:basedOn w:val="List4"/>
    <w:rsid w:val="001A1BB7"/>
    <w:pPr>
      <w:numPr>
        <w:numId w:val="6"/>
      </w:numPr>
    </w:pPr>
  </w:style>
  <w:style w:type="paragraph" w:styleId="ListNumber5">
    <w:name w:val="List Number 5"/>
    <w:basedOn w:val="List5"/>
    <w:rsid w:val="001A1BB7"/>
    <w:pPr>
      <w:numPr>
        <w:numId w:val="7"/>
      </w:numPr>
    </w:pPr>
  </w:style>
  <w:style w:type="paragraph" w:styleId="BlockText">
    <w:name w:val="Block Text"/>
    <w:basedOn w:val="Normal"/>
    <w:rsid w:val="001A1B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B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BB7"/>
    <w:rPr>
      <w:sz w:val="16"/>
      <w:vertAlign w:val="superscript"/>
    </w:rPr>
  </w:style>
  <w:style w:type="character" w:customStyle="1" w:styleId="Symbols">
    <w:name w:val="Symbols"/>
    <w:basedOn w:val="DefaultParagraphFont"/>
    <w:rsid w:val="001A1BB7"/>
    <w:rPr>
      <w:rFonts w:ascii="Symbol" w:hAnsi="Symbol"/>
    </w:rPr>
  </w:style>
  <w:style w:type="character" w:customStyle="1" w:styleId="MenuOptions">
    <w:name w:val="Menu Options"/>
    <w:basedOn w:val="DefaultParagraphFont"/>
    <w:rsid w:val="001A1B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BB7"/>
    <w:rPr>
      <w:b/>
    </w:rPr>
  </w:style>
  <w:style w:type="character" w:customStyle="1" w:styleId="Underlined">
    <w:name w:val="Underlined"/>
    <w:basedOn w:val="DefaultParagraphFont"/>
    <w:rsid w:val="001A1BB7"/>
    <w:rPr>
      <w:u w:val="single"/>
    </w:rPr>
  </w:style>
  <w:style w:type="paragraph" w:customStyle="1" w:styleId="TableBodyTextRight">
    <w:name w:val="Table Body Text Right"/>
    <w:basedOn w:val="TableBodyText"/>
    <w:rsid w:val="001A1B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BB7"/>
    <w:rPr>
      <w:sz w:val="18"/>
    </w:rPr>
  </w:style>
  <w:style w:type="paragraph" w:customStyle="1" w:styleId="BodySmallRight">
    <w:name w:val="Body Small Right"/>
    <w:basedOn w:val="BodyTextRight"/>
    <w:rsid w:val="001A1BB7"/>
    <w:rPr>
      <w:sz w:val="18"/>
      <w:szCs w:val="18"/>
    </w:rPr>
  </w:style>
  <w:style w:type="paragraph" w:customStyle="1" w:styleId="MarginEdition">
    <w:name w:val="Margin Edition"/>
    <w:basedOn w:val="MarginNote"/>
    <w:rsid w:val="001A1B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BB7"/>
    <w:rPr>
      <w:sz w:val="2"/>
      <w:szCs w:val="2"/>
    </w:rPr>
  </w:style>
  <w:style w:type="character" w:customStyle="1" w:styleId="Small">
    <w:name w:val="Small"/>
    <w:basedOn w:val="DefaultParagraphFont"/>
    <w:rsid w:val="001A1BB7"/>
    <w:rPr>
      <w:sz w:val="16"/>
    </w:rPr>
  </w:style>
  <w:style w:type="paragraph" w:customStyle="1" w:styleId="WideTable">
    <w:name w:val="Wide Table"/>
    <w:basedOn w:val="Normal"/>
    <w:rsid w:val="001A1B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BB7"/>
  </w:style>
  <w:style w:type="paragraph" w:styleId="Quote">
    <w:name w:val="Quote"/>
    <w:basedOn w:val="Heading1"/>
    <w:link w:val="QuoteChar"/>
    <w:qFormat/>
    <w:rsid w:val="001A1B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B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BB7"/>
    <w:pPr>
      <w:pageBreakBefore/>
    </w:pPr>
  </w:style>
  <w:style w:type="paragraph" w:customStyle="1" w:styleId="Border">
    <w:name w:val="Border"/>
    <w:basedOn w:val="Normal"/>
    <w:qFormat/>
    <w:rsid w:val="001A1B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B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B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B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B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B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B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B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B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BB7"/>
    <w:rPr>
      <w:u w:val="single"/>
    </w:rPr>
  </w:style>
  <w:style w:type="character" w:customStyle="1" w:styleId="BoldandItalics">
    <w:name w:val="Bold and Italics"/>
    <w:qFormat/>
    <w:rsid w:val="001A1BB7"/>
    <w:rPr>
      <w:b/>
      <w:i/>
      <w:u w:val="none"/>
    </w:rPr>
  </w:style>
  <w:style w:type="paragraph" w:styleId="BalloonText">
    <w:name w:val="Balloon Text"/>
    <w:basedOn w:val="Normal"/>
    <w:link w:val="BalloonTextChar"/>
    <w:rsid w:val="001A1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B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B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B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B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B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BB7"/>
    <w:pPr>
      <w:spacing w:before="0" w:after="0"/>
    </w:pPr>
  </w:style>
  <w:style w:type="paragraph" w:customStyle="1" w:styleId="BodyTextBold">
    <w:name w:val="Body Text Bold"/>
    <w:basedOn w:val="BodyText"/>
    <w:qFormat/>
    <w:rsid w:val="001A1BB7"/>
    <w:rPr>
      <w:b/>
    </w:rPr>
  </w:style>
  <w:style w:type="character" w:styleId="Hyperlink">
    <w:name w:val="Hyperlink"/>
    <w:basedOn w:val="DefaultParagraphFont"/>
    <w:uiPriority w:val="99"/>
    <w:unhideWhenUsed/>
    <w:rsid w:val="002F5F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2155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FNSAML814 Design customer due diligence policies and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