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9F5" w:rsidP="006C59F5">
      <w:pPr>
        <w:pStyle w:val="Title"/>
      </w:pPr>
      <w:r>
        <w:fldChar w:fldCharType="begin"/>
      </w:r>
      <w:r>
        <w:instrText xml:space="preserve"> TITLE   \* MERGEFORMAT </w:instrText>
      </w:r>
      <w:r>
        <w:fldChar w:fldCharType="separate"/>
      </w:r>
      <w:r>
        <w:t>FNSAML812 Design and assess controls to monitor money laundering and terrorism financing risk</w:t>
      </w:r>
      <w:r>
        <w:fldChar w:fldCharType="end"/>
      </w:r>
    </w:p>
    <w:p w:rsidR="006C59F5" w:rsidP="006C59F5">
      <w:pPr>
        <w:pStyle w:val="Version"/>
        <w:sectPr w:rsidSect="00FC10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10B6" w:rsidP="00FC10B6">
      <w:pPr>
        <w:pStyle w:val="SuperHeading"/>
      </w:pPr>
      <w:r w:rsidRPr="00FC10B6">
        <w:t>FNSAML812 Design and assess controls to monitor money laundering and terrorism financing risk</w:t>
      </w:r>
    </w:p>
    <w:p w:rsidR="00000000" w:rsidRPr="00FC10B6" w:rsidP="00FC10B6">
      <w:pPr>
        <w:pStyle w:val="Heading1"/>
      </w:pPr>
      <w:bookmarkStart w:id="1" w:name="O_1074749"/>
      <w:bookmarkEnd w:id="1"/>
      <w:r w:rsidRPr="00FC10B6">
        <w:t>Modification History</w:t>
      </w:r>
    </w:p>
    <w:tbl>
      <w:tblPr>
        <w:tblW w:w="0" w:type="auto"/>
        <w:tblLayout w:type="fixed"/>
        <w:tblCellMar>
          <w:left w:w="62" w:type="dxa"/>
          <w:right w:w="62" w:type="dxa"/>
        </w:tblCellMar>
        <w:tblLook w:val="0000"/>
      </w:tblPr>
      <w:tblGrid>
        <w:gridCol w:w="2627"/>
        <w:gridCol w:w="6337"/>
      </w:tblGrid>
      <w:tr w:rsidTr="00FC10B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0B6" w:rsidP="00FC10B6">
            <w:pPr>
              <w:pStyle w:val="BodyText"/>
            </w:pPr>
            <w:r w:rsidRPr="00FC10B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0B6">
            <w:pPr>
              <w:pStyle w:val="BodyText"/>
              <w:rPr>
                <w:lang w:val="en-NZ"/>
              </w:rPr>
            </w:pPr>
            <w:r w:rsidRPr="00FC10B6">
              <w:rPr>
                <w:rStyle w:val="SpecialBold"/>
              </w:rPr>
              <w:t>Comments</w:t>
            </w:r>
          </w:p>
        </w:tc>
      </w:tr>
      <w:tr w:rsidTr="00FC10B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0B6">
            <w:pPr>
              <w:pStyle w:val="BodyText"/>
              <w:rPr>
                <w:lang w:val="en-NZ"/>
              </w:rPr>
            </w:pPr>
            <w:r w:rsidRPr="00FC10B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0B6" w:rsidP="00FC10B6">
            <w:pPr>
              <w:pStyle w:val="BodyText"/>
            </w:pPr>
            <w:r w:rsidRPr="00FC10B6">
              <w:t>This version first released with FNS Financial Services Training Package Version 4.0.</w:t>
            </w:r>
          </w:p>
        </w:tc>
      </w:tr>
    </w:tbl>
    <w:p w:rsidR="00000000" w:rsidRPr="00FC10B6" w:rsidP="00FC10B6">
      <w:pPr>
        <w:pStyle w:val="BodyText"/>
      </w:pPr>
    </w:p>
    <w:p w:rsidR="00000000" w:rsidRPr="00FC10B6" w:rsidP="00FC10B6">
      <w:pPr>
        <w:pStyle w:val="AllowPageBreak"/>
      </w:pPr>
    </w:p>
    <w:p w:rsidR="00000000" w:rsidRPr="00FC10B6" w:rsidP="00FC10B6">
      <w:pPr>
        <w:pStyle w:val="Heading1"/>
      </w:pPr>
      <w:bookmarkStart w:id="2" w:name="O_1074754"/>
      <w:bookmarkEnd w:id="2"/>
      <w:r w:rsidRPr="00FC10B6">
        <w:t>Application</w:t>
      </w:r>
    </w:p>
    <w:p w:rsidR="00000000" w:rsidRPr="00FC10B6" w:rsidP="006C59F5">
      <w:pPr>
        <w:pStyle w:val="BodyText"/>
      </w:pPr>
      <w:r w:rsidRPr="00FC10B6">
        <w:t xml:space="preserve">This unit describes the skills and knowledge required to design and implement procedural controls to proactively identify money laundering (ML) and terrorism financing (TF) risks for an organisation. It covers developing risk </w:t>
      </w:r>
      <w:r w:rsidRPr="00FC10B6">
        <w:t>analysis criteria to assess an organisation’s risk exposure and then designing, implementing and monitoring controls that are flexible and responsive to changes in ML and TF typologies.</w:t>
      </w:r>
    </w:p>
    <w:p w:rsidR="00000000" w:rsidRPr="00FC10B6" w:rsidP="006C59F5">
      <w:pPr>
        <w:pStyle w:val="BodyText"/>
      </w:pPr>
      <w:r w:rsidRPr="00FC10B6">
        <w:t xml:space="preserve">The unit applies to individuals who lead and review organisation wide </w:t>
      </w:r>
      <w:r w:rsidRPr="00FC10B6">
        <w:t>activities, exercise significant autonomy, responsibility and accountability and contribute to the goals and operations of the organisation. They will typically have responsibility for the establishment and review of significant programs in the organisatio</w:t>
      </w:r>
      <w:r w:rsidRPr="00FC10B6">
        <w:t>n. They use cognitive and creative skills to review, critically analyse, consolidate and synthesise knowledge, generate ideas and provide solutions to complex problems.</w:t>
      </w:r>
    </w:p>
    <w:p w:rsidR="00000000" w:rsidRPr="00FC10B6" w:rsidP="006C59F5">
      <w:pPr>
        <w:pStyle w:val="BodyText"/>
      </w:pPr>
      <w:r w:rsidRPr="00FC10B6">
        <w:t xml:space="preserve">No licensing, legislative or certification requirements apply to this unit at the time </w:t>
      </w:r>
      <w:r w:rsidRPr="00FC10B6">
        <w:t>of publication.</w:t>
      </w:r>
    </w:p>
    <w:p w:rsidR="00000000" w:rsidRPr="00FC10B6" w:rsidP="00FC10B6">
      <w:pPr>
        <w:pStyle w:val="Heading1"/>
      </w:pPr>
      <w:bookmarkStart w:id="3" w:name="O_1074753"/>
      <w:bookmarkEnd w:id="3"/>
      <w:r w:rsidRPr="00FC10B6">
        <w:t>Unit Sector</w:t>
      </w:r>
    </w:p>
    <w:p w:rsidR="00000000" w:rsidRPr="00FC10B6" w:rsidP="006C59F5">
      <w:pPr>
        <w:pStyle w:val="BodyText"/>
      </w:pPr>
      <w:r w:rsidRPr="00FC10B6">
        <w:t>Anti-money laundering and counter terrorism financing</w:t>
      </w:r>
    </w:p>
    <w:p w:rsidR="00000000" w:rsidRPr="00FC10B6" w:rsidP="00FC10B6">
      <w:pPr>
        <w:pStyle w:val="Heading1"/>
      </w:pPr>
      <w:bookmarkStart w:id="4" w:name="O_1074752"/>
      <w:bookmarkEnd w:id="4"/>
      <w:r w:rsidRPr="00FC10B6">
        <w:t>Elements and Performance Criteria</w:t>
      </w:r>
    </w:p>
    <w:tbl>
      <w:tblPr>
        <w:tblW w:w="9606" w:type="dxa"/>
        <w:tblLayout w:type="fixed"/>
        <w:tblCellMar>
          <w:left w:w="62" w:type="dxa"/>
          <w:right w:w="62" w:type="dxa"/>
        </w:tblCellMar>
        <w:tblLook w:val="0000"/>
      </w:tblPr>
      <w:tblGrid>
        <w:gridCol w:w="2630"/>
        <w:gridCol w:w="6976"/>
      </w:tblGrid>
      <w:tr w:rsidTr="00FC10B6">
        <w:tblPrEx>
          <w:tblW w:w="9606" w:type="dxa"/>
          <w:tblLayout w:type="fixed"/>
          <w:tblCellMar>
            <w:left w:w="62" w:type="dxa"/>
            <w:right w:w="62" w:type="dxa"/>
          </w:tblCellMar>
          <w:tblLook w:val="0000"/>
        </w:tblPrEx>
        <w:trPr>
          <w:tblHeader/>
        </w:trPr>
        <w:tc>
          <w:tcPr>
            <w:tcW w:w="263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C10B6" w:rsidP="00FC10B6">
            <w:pPr>
              <w:pStyle w:val="BodyText"/>
            </w:pPr>
            <w:r w:rsidRPr="00FC10B6">
              <w:rPr>
                <w:rStyle w:val="SpecialBold"/>
              </w:rPr>
              <w:t>ELEMENT</w:t>
            </w:r>
          </w:p>
        </w:tc>
        <w:tc>
          <w:tcPr>
            <w:tcW w:w="697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10B6">
            <w:pPr>
              <w:pStyle w:val="BodyText"/>
              <w:rPr>
                <w:lang w:val="en-NZ"/>
              </w:rPr>
            </w:pPr>
            <w:r w:rsidRPr="00FC10B6">
              <w:rPr>
                <w:rStyle w:val="SpecialBold"/>
              </w:rPr>
              <w:t>PERFORMANCE CRITERIA</w:t>
            </w:r>
          </w:p>
        </w:tc>
      </w:tr>
      <w:tr w:rsidTr="00FC10B6">
        <w:tblPrEx>
          <w:tblW w:w="9606" w:type="dxa"/>
          <w:tblLayout w:type="fixed"/>
          <w:tblCellMar>
            <w:left w:w="62" w:type="dxa"/>
            <w:right w:w="62" w:type="dxa"/>
          </w:tblCellMar>
          <w:tblLook w:val="0000"/>
        </w:tblPrEx>
        <w:tc>
          <w:tcPr>
            <w:tcW w:w="263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C10B6" w:rsidP="00FC10B6">
            <w:pPr>
              <w:pStyle w:val="BodyText"/>
            </w:pPr>
            <w:r w:rsidRPr="00FC10B6">
              <w:rPr>
                <w:rStyle w:val="Emphasis"/>
              </w:rPr>
              <w:t>Elements describe the essential outcomes.</w:t>
            </w:r>
          </w:p>
        </w:tc>
        <w:tc>
          <w:tcPr>
            <w:tcW w:w="697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10B6">
            <w:pPr>
              <w:pStyle w:val="BodyText"/>
              <w:rPr>
                <w:lang w:val="en-NZ"/>
              </w:rPr>
            </w:pPr>
            <w:r w:rsidRPr="00FC10B6">
              <w:rPr>
                <w:rStyle w:val="Emphasis"/>
              </w:rPr>
              <w:t>Performance criteria describe the performance needed to demonstrate achievement of the element.</w:t>
            </w:r>
          </w:p>
        </w:tc>
      </w:tr>
      <w:tr w:rsidTr="00FC10B6">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0B6">
            <w:pPr>
              <w:pStyle w:val="List"/>
              <w:rPr>
                <w:lang w:val="en-NZ"/>
              </w:rPr>
            </w:pPr>
            <w:r w:rsidRPr="00FC10B6">
              <w:t>1. Analyse requirements and develop risk evaluation criteria</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0B6" w:rsidP="00FC10B6">
            <w:pPr>
              <w:pStyle w:val="List"/>
            </w:pPr>
            <w:r w:rsidRPr="00FC10B6">
              <w:t>1.1 Analyse all stages of risk assessment process, including identification, assessment, evaluatio</w:t>
            </w:r>
            <w:r w:rsidRPr="00FC10B6">
              <w:t>n, mitigation and monitoring, related to organisational requirements</w:t>
            </w:r>
          </w:p>
          <w:p w:rsidR="00000000" w:rsidRPr="00FC10B6" w:rsidP="00FC10B6">
            <w:pPr>
              <w:pStyle w:val="List"/>
            </w:pPr>
            <w:r w:rsidRPr="00FC10B6">
              <w:t xml:space="preserve">1.2 Analyse relevant industry related typologies including those issued by Australian Transaction Reports and Analysis Centre </w:t>
            </w:r>
            <w:r w:rsidRPr="00FC10B6">
              <w:t>(AUSTRAC) annually</w:t>
            </w:r>
          </w:p>
          <w:p w:rsidR="00000000" w:rsidRPr="00FC10B6" w:rsidP="00FC10B6">
            <w:pPr>
              <w:pStyle w:val="List"/>
            </w:pPr>
            <w:r w:rsidRPr="00FC10B6">
              <w:t>1.3 Evaluate and select risk management to</w:t>
            </w:r>
            <w:r w:rsidRPr="00FC10B6">
              <w:t>ols for organisation</w:t>
            </w:r>
          </w:p>
          <w:p w:rsidR="00000000" w:rsidRPr="00FC10B6" w:rsidP="00FC10B6">
            <w:pPr>
              <w:pStyle w:val="List"/>
            </w:pPr>
            <w:r w:rsidRPr="00FC10B6">
              <w:t>1.4 Develop risk criteria to evaluate risk based on organisation’s vulnerability to ML and TF</w:t>
            </w:r>
          </w:p>
          <w:p w:rsidR="00000000" w:rsidP="00FC10B6">
            <w:pPr>
              <w:pStyle w:val="List"/>
              <w:rPr>
                <w:lang w:val="en-NZ"/>
              </w:rPr>
            </w:pPr>
            <w:r w:rsidRPr="00FC10B6">
              <w:t>1.5 Formulate and document risk management methodologies, including assessing risk appetite and holistic organisational ML and TF risk review</w:t>
            </w:r>
            <w:r w:rsidRPr="00FC10B6">
              <w:t xml:space="preserve"> processes </w:t>
            </w:r>
          </w:p>
        </w:tc>
      </w:tr>
      <w:tr w:rsidTr="00FC10B6">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0B6">
            <w:pPr>
              <w:pStyle w:val="List"/>
              <w:rPr>
                <w:lang w:val="en-NZ"/>
              </w:rPr>
            </w:pPr>
            <w:r w:rsidRPr="00FC10B6">
              <w:t xml:space="preserve">2. Assess organisation’s current exposure </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0B6" w:rsidP="00FC10B6">
            <w:pPr>
              <w:pStyle w:val="List"/>
            </w:pPr>
            <w:r w:rsidRPr="00FC10B6">
              <w:t>2.1 Analyse risk exposure in organisation’s operations, including products offered, clients, systems, channels of access and geographical sphere</w:t>
            </w:r>
          </w:p>
          <w:p w:rsidR="00000000" w:rsidRPr="00FC10B6" w:rsidP="00FC10B6">
            <w:pPr>
              <w:pStyle w:val="List"/>
            </w:pPr>
            <w:r w:rsidRPr="00FC10B6">
              <w:t>2.2 Analyse vulnerability of organisation to ML and TF risks</w:t>
            </w:r>
          </w:p>
          <w:p w:rsidR="00000000" w:rsidP="00FC10B6">
            <w:pPr>
              <w:pStyle w:val="List"/>
              <w:rPr>
                <w:lang w:val="en-NZ"/>
              </w:rPr>
            </w:pPr>
            <w:r w:rsidRPr="00FC10B6">
              <w:t>2.3 Evaluate overall level of risk posed to organisation and confirm that level is within stated risk appetite tolerance</w:t>
            </w:r>
          </w:p>
        </w:tc>
      </w:tr>
      <w:tr w:rsidTr="00FC10B6">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0B6">
            <w:pPr>
              <w:pStyle w:val="List"/>
              <w:rPr>
                <w:lang w:val="en-NZ"/>
              </w:rPr>
            </w:pPr>
            <w:r w:rsidRPr="00FC10B6">
              <w:t>3. Design and implement controls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0B6" w:rsidP="00FC10B6">
            <w:pPr>
              <w:pStyle w:val="List"/>
            </w:pPr>
            <w:r w:rsidRPr="00FC10B6">
              <w:t>3.1 Evaluate risk mitigation controls al</w:t>
            </w:r>
            <w:r w:rsidRPr="00FC10B6">
              <w:t>ready in place and assess if proportionate to nature, size and complexity of organisation</w:t>
            </w:r>
          </w:p>
          <w:p w:rsidR="00000000" w:rsidRPr="00FC10B6" w:rsidP="00FC10B6">
            <w:pPr>
              <w:pStyle w:val="List"/>
            </w:pPr>
            <w:r w:rsidRPr="00FC10B6">
              <w:t>3.2 Determine risks with ineffective and insufficient controls</w:t>
            </w:r>
          </w:p>
          <w:p w:rsidR="00000000" w:rsidRPr="00FC10B6" w:rsidP="00FC10B6">
            <w:pPr>
              <w:pStyle w:val="List"/>
            </w:pPr>
            <w:r w:rsidRPr="00FC10B6">
              <w:t>3.3 Discuss risk management deficiencies with relevant stakeholders and identify required controls</w:t>
            </w:r>
          </w:p>
          <w:p w:rsidR="00000000" w:rsidRPr="00FC10B6" w:rsidP="00FC10B6">
            <w:pPr>
              <w:pStyle w:val="List"/>
            </w:pPr>
            <w:r w:rsidRPr="00FC10B6">
              <w:t xml:space="preserve">3.4 </w:t>
            </w:r>
            <w:r w:rsidRPr="00FC10B6">
              <w:t>Allocate responsibility for managing controls to senior managers in organisation</w:t>
            </w:r>
          </w:p>
          <w:p w:rsidR="00000000" w:rsidP="00FC10B6">
            <w:pPr>
              <w:pStyle w:val="List"/>
              <w:rPr>
                <w:lang w:val="en-NZ"/>
              </w:rPr>
            </w:pPr>
            <w:r w:rsidRPr="00FC10B6">
              <w:t>3.5 Work with stakeholders to implement controls where required</w:t>
            </w:r>
          </w:p>
        </w:tc>
      </w:tr>
      <w:tr w:rsidTr="00FC10B6">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0B6">
            <w:pPr>
              <w:pStyle w:val="List"/>
              <w:rPr>
                <w:lang w:val="en-NZ"/>
              </w:rPr>
            </w:pPr>
            <w:r w:rsidRPr="00FC10B6">
              <w:t>4. Monitor and maintain effectiveness of controls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0B6" w:rsidP="00FC10B6">
            <w:pPr>
              <w:pStyle w:val="List"/>
            </w:pPr>
            <w:r w:rsidRPr="00FC10B6">
              <w:t>4.1 Review organisation’s overall risk assessment addressing</w:t>
            </w:r>
            <w:r w:rsidRPr="00FC10B6">
              <w:t xml:space="preserve"> methodology, and changes in organisation and regulatory landscape</w:t>
            </w:r>
          </w:p>
          <w:p w:rsidR="00000000" w:rsidRPr="00FC10B6" w:rsidP="00FC10B6">
            <w:pPr>
              <w:pStyle w:val="List"/>
            </w:pPr>
            <w:r w:rsidRPr="00FC10B6">
              <w:t>4.2 Implement processes to regularly monitor and assess effectiveness of mitigation controls</w:t>
            </w:r>
          </w:p>
          <w:p w:rsidR="00000000" w:rsidRPr="00FC10B6" w:rsidP="00FC10B6">
            <w:pPr>
              <w:pStyle w:val="List"/>
            </w:pPr>
            <w:r w:rsidRPr="00FC10B6">
              <w:t>4.3 Analyse deficiencies and work with stakeholders to ensure remediation</w:t>
            </w:r>
          </w:p>
          <w:p w:rsidR="00000000" w:rsidRPr="00FC10B6" w:rsidP="00FC10B6">
            <w:pPr>
              <w:pStyle w:val="List"/>
            </w:pPr>
            <w:r w:rsidRPr="00FC10B6">
              <w:t>4.4 Report deficiencie</w:t>
            </w:r>
            <w:r w:rsidRPr="00FC10B6">
              <w:t>s to relevant internal stakeholders, including management, Board, and audit and risk manager</w:t>
            </w:r>
          </w:p>
          <w:p w:rsidR="00000000" w:rsidRPr="00FC10B6" w:rsidP="00FC10B6">
            <w:pPr>
              <w:pStyle w:val="List"/>
            </w:pPr>
            <w:r w:rsidRPr="00FC10B6">
              <w:t>4.5 Report significant breaches to relevant authorities, including AUSTRAC</w:t>
            </w:r>
          </w:p>
          <w:p w:rsidR="00000000" w:rsidRPr="00FC10B6" w:rsidP="00FC10B6">
            <w:pPr>
              <w:pStyle w:val="List"/>
            </w:pPr>
            <w:r w:rsidRPr="00FC10B6">
              <w:t>4.6 Monitor implementation of improvements and changes to mitigation controls</w:t>
            </w:r>
          </w:p>
          <w:p w:rsidR="00000000" w:rsidRPr="00FC10B6" w:rsidP="00FC10B6">
            <w:pPr>
              <w:pStyle w:val="List"/>
            </w:pPr>
            <w:r w:rsidRPr="00FC10B6">
              <w:t>4.7 Resear</w:t>
            </w:r>
            <w:r w:rsidRPr="00FC10B6">
              <w:t>ch and analyse changes to industry and environment that may increase risk and necessitate changes to controls</w:t>
            </w:r>
          </w:p>
        </w:tc>
      </w:tr>
    </w:tbl>
    <w:p w:rsidR="00000000" w:rsidRPr="00FC10B6" w:rsidP="00FC10B6">
      <w:pPr>
        <w:pStyle w:val="BodyText"/>
      </w:pPr>
    </w:p>
    <w:p w:rsidR="00000000" w:rsidRPr="00FC10B6" w:rsidP="00FC10B6">
      <w:pPr>
        <w:pStyle w:val="AllowPageBreak"/>
      </w:pPr>
    </w:p>
    <w:p w:rsidR="00000000" w:rsidRPr="00FC10B6" w:rsidP="00FC10B6">
      <w:pPr>
        <w:pStyle w:val="Heading1"/>
      </w:pPr>
      <w:bookmarkStart w:id="5" w:name="O_1074751"/>
      <w:bookmarkEnd w:id="5"/>
      <w:r w:rsidRPr="00FC10B6">
        <w:t>Foundation Skills</w:t>
      </w:r>
    </w:p>
    <w:p w:rsidR="00000000" w:rsidRPr="006C59F5" w:rsidP="006C59F5">
      <w:pPr>
        <w:pStyle w:val="BodyText"/>
        <w:rPr>
          <w:i/>
        </w:rPr>
      </w:pPr>
      <w:r w:rsidRPr="006C59F5">
        <w:rPr>
          <w:rStyle w:val="Emphasis"/>
        </w:rPr>
        <w:t>This section describes those language, literacy, numeracy and employment skills that are essential to performance but not explicit in the performance criteria.</w:t>
      </w:r>
    </w:p>
    <w:tbl>
      <w:tblPr>
        <w:tblW w:w="9567" w:type="dxa"/>
        <w:tblLayout w:type="fixed"/>
        <w:tblCellMar>
          <w:left w:w="62" w:type="dxa"/>
          <w:right w:w="62" w:type="dxa"/>
        </w:tblCellMar>
        <w:tblLook w:val="0000"/>
      </w:tblPr>
      <w:tblGrid>
        <w:gridCol w:w="2571"/>
        <w:gridCol w:w="6996"/>
      </w:tblGrid>
      <w:tr w:rsidTr="00FC10B6">
        <w:tblPrEx>
          <w:tblW w:w="9567" w:type="dxa"/>
          <w:tblLayout w:type="fixed"/>
          <w:tblCellMar>
            <w:left w:w="62" w:type="dxa"/>
            <w:right w:w="62" w:type="dxa"/>
          </w:tblCellMar>
          <w:tblLook w:val="0000"/>
        </w:tblPrEx>
        <w:trPr>
          <w:tblHeader/>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0B6" w:rsidP="00FC10B6">
            <w:pPr>
              <w:pStyle w:val="BodyText"/>
            </w:pPr>
            <w:r w:rsidRPr="00FC10B6">
              <w:rPr>
                <w:rStyle w:val="SpecialBold"/>
              </w:rPr>
              <w:t>Skill</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0B6">
            <w:pPr>
              <w:pStyle w:val="BodyText"/>
              <w:rPr>
                <w:lang w:val="en-NZ"/>
              </w:rPr>
            </w:pPr>
            <w:r w:rsidRPr="00FC10B6">
              <w:rPr>
                <w:rStyle w:val="SpecialBold"/>
              </w:rPr>
              <w:t>Description</w:t>
            </w:r>
          </w:p>
        </w:tc>
      </w:tr>
      <w:tr w:rsidTr="00FC10B6">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0B6">
            <w:pPr>
              <w:pStyle w:val="BodyText"/>
              <w:rPr>
                <w:lang w:val="en-NZ"/>
              </w:rPr>
            </w:pPr>
            <w:r w:rsidRPr="00FC10B6">
              <w:t>Reading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0B6">
            <w:pPr>
              <w:pStyle w:val="ListBullet"/>
              <w:rPr>
                <w:lang w:val="en-NZ"/>
              </w:rPr>
            </w:pPr>
            <w:r w:rsidRPr="00FC10B6">
              <w:t xml:space="preserve">Identifies, critically analyses and evaluates complex documentation </w:t>
            </w:r>
            <w:r w:rsidRPr="00FC10B6">
              <w:t>from a variety of sources to determine requirements</w:t>
            </w:r>
          </w:p>
        </w:tc>
      </w:tr>
      <w:tr w:rsidTr="00FC10B6">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0B6">
            <w:pPr>
              <w:pStyle w:val="BodyText"/>
              <w:rPr>
                <w:lang w:val="en-NZ"/>
              </w:rPr>
            </w:pPr>
            <w:r w:rsidRPr="00FC10B6">
              <w:t>Writing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0B6" w:rsidP="00FC10B6">
            <w:pPr>
              <w:pStyle w:val="ListBullet"/>
            </w:pPr>
            <w:r w:rsidRPr="00FC10B6">
              <w:t>Uses clear and concise language and appropriate terminology to convey complex information and provide detailed instructions</w:t>
            </w:r>
          </w:p>
          <w:p w:rsidR="00000000" w:rsidP="00FC10B6">
            <w:pPr>
              <w:pStyle w:val="ListBullet"/>
              <w:rPr>
                <w:lang w:val="en-NZ"/>
              </w:rPr>
            </w:pPr>
            <w:r w:rsidRPr="00FC10B6">
              <w:t>Prepares logically organised documents using appropriate</w:t>
            </w:r>
            <w:r w:rsidRPr="00FC10B6">
              <w:rPr>
                <w:rStyle w:val="Monospace"/>
              </w:rPr>
              <w:t xml:space="preserve"> </w:t>
            </w:r>
            <w:r w:rsidRPr="00FC10B6">
              <w:t xml:space="preserve">formats for audience and purpose </w:t>
            </w:r>
          </w:p>
        </w:tc>
      </w:tr>
      <w:tr w:rsidTr="00FC10B6">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0B6">
            <w:pPr>
              <w:pStyle w:val="BodyText"/>
              <w:rPr>
                <w:lang w:val="en-NZ"/>
              </w:rPr>
            </w:pPr>
            <w:r w:rsidRPr="00FC10B6">
              <w:t>Oral communication</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0B6">
            <w:pPr>
              <w:pStyle w:val="ListBullet"/>
              <w:rPr>
                <w:lang w:val="en-NZ"/>
              </w:rPr>
            </w:pPr>
            <w:r w:rsidRPr="00FC10B6">
              <w:t>Uses language and features appropriate to context and audience to present, report and discuss complex information</w:t>
            </w:r>
          </w:p>
        </w:tc>
      </w:tr>
      <w:tr w:rsidTr="00FC10B6">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0B6">
            <w:pPr>
              <w:pStyle w:val="BodyText"/>
              <w:rPr>
                <w:lang w:val="en-NZ"/>
              </w:rPr>
            </w:pPr>
            <w:r w:rsidRPr="00FC10B6">
              <w:t>Numeracy</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0B6">
            <w:pPr>
              <w:pStyle w:val="ListBullet"/>
              <w:rPr>
                <w:lang w:val="en-NZ"/>
              </w:rPr>
            </w:pPr>
            <w:r w:rsidRPr="00FC10B6">
              <w:t>Collates, interprets and analyses financial and statistical information to d</w:t>
            </w:r>
            <w:r w:rsidRPr="00FC10B6">
              <w:t>etermine and assess requirements</w:t>
            </w:r>
          </w:p>
        </w:tc>
      </w:tr>
      <w:tr w:rsidTr="00FC10B6">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0B6">
            <w:pPr>
              <w:pStyle w:val="BodyText"/>
              <w:rPr>
                <w:lang w:val="en-NZ"/>
              </w:rPr>
            </w:pPr>
            <w:r w:rsidRPr="00FC10B6">
              <w:t>Self-management</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0B6" w:rsidP="00FC10B6">
            <w:pPr>
              <w:pStyle w:val="ListBullet"/>
            </w:pPr>
            <w:r w:rsidRPr="00FC10B6">
              <w:t>Works autonomously and in teams, making decisions to achieve and improve organisational goals and operations</w:t>
            </w:r>
          </w:p>
          <w:p w:rsidR="00000000" w:rsidRPr="00FC10B6" w:rsidP="00FC10B6">
            <w:pPr>
              <w:pStyle w:val="ListBullet"/>
            </w:pPr>
            <w:r w:rsidRPr="00FC10B6">
              <w:t>Selects and uses appropriate communication methods and practices to provide information and reco</w:t>
            </w:r>
            <w:r w:rsidRPr="00FC10B6">
              <w:t>mmendations</w:t>
            </w:r>
          </w:p>
          <w:p w:rsidR="00000000" w:rsidP="00FC10B6">
            <w:pPr>
              <w:pStyle w:val="ListBullet"/>
              <w:rPr>
                <w:lang w:val="en-NZ"/>
              </w:rPr>
            </w:pPr>
            <w:r w:rsidRPr="00FC10B6">
              <w:t xml:space="preserve">Accepts responsibility for planning and sequencing complex tasks and workload </w:t>
            </w:r>
          </w:p>
        </w:tc>
      </w:tr>
      <w:tr w:rsidTr="00FC10B6">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0B6">
            <w:pPr>
              <w:pStyle w:val="BodyText"/>
              <w:rPr>
                <w:lang w:val="en-NZ"/>
              </w:rPr>
            </w:pPr>
            <w:r w:rsidRPr="00FC10B6">
              <w:t>Problem solving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0B6" w:rsidP="00FC10B6">
            <w:pPr>
              <w:pStyle w:val="ListBullet"/>
            </w:pPr>
            <w:r w:rsidRPr="00FC10B6">
              <w:t xml:space="preserve">Systematically gathers and analyses relevant information, reviews data and evaluates </w:t>
            </w:r>
            <w:r w:rsidRPr="00FC10B6">
              <w:t>options in order to inform decisions about complex organisational programs</w:t>
            </w:r>
          </w:p>
          <w:p w:rsidR="00000000" w:rsidRPr="00FC10B6" w:rsidP="00FC10B6">
            <w:pPr>
              <w:pStyle w:val="ListBullet"/>
            </w:pPr>
            <w:r w:rsidRPr="00FC10B6">
              <w:t>Uses analytical thinking techniques to identify or predict issues and generate possible solutions</w:t>
            </w:r>
          </w:p>
          <w:p w:rsidR="00000000" w:rsidP="00FC10B6">
            <w:pPr>
              <w:pStyle w:val="ListBullet"/>
              <w:rPr>
                <w:lang w:val="en-NZ"/>
              </w:rPr>
            </w:pPr>
            <w:r w:rsidRPr="00FC10B6">
              <w:t>Analyses, assesses and interprets data to identify problems and improve systems</w:t>
            </w:r>
          </w:p>
        </w:tc>
      </w:tr>
      <w:tr w:rsidTr="00FC10B6">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0B6">
            <w:pPr>
              <w:pStyle w:val="BodyText"/>
              <w:rPr>
                <w:lang w:val="en-NZ"/>
              </w:rPr>
            </w:pPr>
            <w:r w:rsidRPr="00FC10B6">
              <w:t>Te</w:t>
            </w:r>
            <w:r w:rsidRPr="00FC10B6">
              <w:t>chnology</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0B6" w:rsidP="00FC10B6">
            <w:pPr>
              <w:pStyle w:val="ListBullet"/>
            </w:pPr>
            <w:r w:rsidRPr="00FC10B6">
              <w:t>Uses digital systems and technologies to enter, store or access information</w:t>
            </w:r>
          </w:p>
        </w:tc>
      </w:tr>
    </w:tbl>
    <w:p w:rsidR="00000000" w:rsidRPr="00FC10B6" w:rsidP="00FC10B6">
      <w:pPr>
        <w:pStyle w:val="BodyText"/>
      </w:pPr>
    </w:p>
    <w:p w:rsidR="00000000" w:rsidRPr="00FC10B6" w:rsidP="00FC10B6">
      <w:pPr>
        <w:pStyle w:val="AllowPageBreak"/>
      </w:pPr>
    </w:p>
    <w:p w:rsidR="00000000" w:rsidRPr="00FC10B6" w:rsidP="00FC10B6">
      <w:pPr>
        <w:pStyle w:val="Heading1"/>
      </w:pPr>
      <w:bookmarkStart w:id="6" w:name="O_1074750"/>
      <w:bookmarkEnd w:id="6"/>
      <w:r w:rsidRPr="00FC10B6">
        <w:t>Unit Mapping Information</w:t>
      </w:r>
    </w:p>
    <w:p w:rsidR="00000000" w:rsidRPr="00FC10B6" w:rsidP="006C59F5">
      <w:pPr>
        <w:pStyle w:val="BodyText"/>
      </w:pPr>
      <w:r w:rsidRPr="00FC10B6">
        <w:t>Supersedes and is equivalent to FNSAML802 Design and assess controls to monitor money laundering and terrorism financing ris</w:t>
      </w:r>
      <w:r w:rsidRPr="00FC10B6">
        <w:t>k.</w:t>
      </w:r>
    </w:p>
    <w:p w:rsidR="00000000" w:rsidRPr="00FC10B6" w:rsidP="00FC10B6">
      <w:pPr>
        <w:pStyle w:val="Heading1"/>
      </w:pPr>
      <w:bookmarkStart w:id="7" w:name="O_1074743"/>
      <w:bookmarkEnd w:id="7"/>
      <w:r w:rsidRPr="00FC10B6">
        <w:t>Links</w:t>
      </w:r>
    </w:p>
    <w:p w:rsidR="00000000" w:rsidRPr="00FC10B6" w:rsidP="006C59F5">
      <w:pPr>
        <w:pStyle w:val="BodyText"/>
      </w:pPr>
      <w:r w:rsidRPr="00FC10B6">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9A3044">
        <w:rPr>
          <w:rStyle w:val="Hyperlink"/>
        </w:rPr>
        <w:t>https://vetnet.gov.au/Pages/TrainingDocs.aspx?q=c7200cc8-0566-4f04-b76f-e89fd6f102fe</w:t>
      </w:r>
      <w:r>
        <w:fldChar w:fldCharType="end"/>
      </w:r>
    </w:p>
    <w:p w:rsidR="00000000" w:rsidRPr="00FC10B6" w:rsidP="00FC10B6"/>
    <w:sectPr w:rsidSect="00FC10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B6" w:rsidRPr="006C59F5" w:rsidP="006C59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F5" w:rsidP="00FC10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59F5" w:rsidP="00FC10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C59F5" w:rsidP="00FC10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10B6" w:rsidRPr="006C59F5" w:rsidP="006C59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F5" w:rsidRPr="002D2AF8" w:rsidP="00FC10B6">
    <w:pPr>
      <w:pStyle w:val="Header"/>
      <w:framePr w:wrap="around"/>
    </w:pPr>
    <w:r>
      <w:fldChar w:fldCharType="begin"/>
    </w:r>
    <w:r>
      <w:instrText xml:space="preserve"> TITLE   \* MERGEFORMAT </w:instrText>
    </w:r>
    <w:r>
      <w:fldChar w:fldCharType="separate"/>
    </w:r>
    <w:r>
      <w:t>FNSAML812 Design and assess controls to monitor money laundering and terrorism financing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6C59F5" w:rsidP="00FC10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308E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606B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0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10B6"/>
    <w:pPr>
      <w:spacing w:before="360" w:after="60"/>
      <w:outlineLvl w:val="0"/>
    </w:pPr>
    <w:rPr>
      <w:sz w:val="32"/>
    </w:rPr>
  </w:style>
  <w:style w:type="paragraph" w:styleId="Heading2">
    <w:name w:val="heading 2"/>
    <w:basedOn w:val="HeadingBase"/>
    <w:next w:val="BodyText"/>
    <w:link w:val="Heading2Char"/>
    <w:qFormat/>
    <w:rsid w:val="00FC10B6"/>
    <w:pPr>
      <w:keepLines/>
      <w:spacing w:before="240" w:after="120"/>
      <w:outlineLvl w:val="1"/>
    </w:pPr>
    <w:rPr>
      <w:sz w:val="28"/>
      <w:szCs w:val="40"/>
    </w:rPr>
  </w:style>
  <w:style w:type="paragraph" w:styleId="Heading3">
    <w:name w:val="heading 3"/>
    <w:basedOn w:val="HeadingBase"/>
    <w:next w:val="BodyText"/>
    <w:link w:val="Heading3Char"/>
    <w:qFormat/>
    <w:rsid w:val="00FC10B6"/>
    <w:pPr>
      <w:spacing w:before="180" w:after="120"/>
      <w:outlineLvl w:val="2"/>
    </w:pPr>
    <w:rPr>
      <w:spacing w:val="-10"/>
      <w:kern w:val="32"/>
    </w:rPr>
  </w:style>
  <w:style w:type="paragraph" w:styleId="Heading4">
    <w:name w:val="heading 4"/>
    <w:basedOn w:val="HeadingBase"/>
    <w:next w:val="BodyText"/>
    <w:link w:val="Heading4Char"/>
    <w:qFormat/>
    <w:rsid w:val="00FC10B6"/>
    <w:pPr>
      <w:spacing w:before="160" w:after="120"/>
      <w:outlineLvl w:val="3"/>
    </w:pPr>
    <w:rPr>
      <w:sz w:val="22"/>
    </w:rPr>
  </w:style>
  <w:style w:type="paragraph" w:styleId="Heading5">
    <w:name w:val="heading 5"/>
    <w:basedOn w:val="HeadingBase"/>
    <w:next w:val="Normal"/>
    <w:link w:val="Heading5Char"/>
    <w:qFormat/>
    <w:rsid w:val="00FC10B6"/>
    <w:pPr>
      <w:spacing w:before="80"/>
      <w:outlineLvl w:val="4"/>
    </w:pPr>
    <w:rPr>
      <w:color w:val="918585"/>
      <w:sz w:val="20"/>
    </w:rPr>
  </w:style>
  <w:style w:type="paragraph" w:styleId="Heading6">
    <w:name w:val="heading 6"/>
    <w:basedOn w:val="HeadingBase"/>
    <w:next w:val="Normal"/>
    <w:link w:val="Heading6Char"/>
    <w:qFormat/>
    <w:rsid w:val="00FC10B6"/>
    <w:pPr>
      <w:spacing w:before="60"/>
      <w:outlineLvl w:val="5"/>
    </w:pPr>
    <w:rPr>
      <w:color w:val="918585"/>
      <w:sz w:val="20"/>
    </w:rPr>
  </w:style>
  <w:style w:type="paragraph" w:styleId="Heading7">
    <w:name w:val="heading 7"/>
    <w:basedOn w:val="Normal"/>
    <w:next w:val="Normal"/>
    <w:link w:val="Heading7Char"/>
    <w:qFormat/>
    <w:rsid w:val="00FC10B6"/>
    <w:pPr>
      <w:ind w:left="720"/>
      <w:outlineLvl w:val="6"/>
    </w:pPr>
    <w:rPr>
      <w:i/>
    </w:rPr>
  </w:style>
  <w:style w:type="paragraph" w:styleId="Heading8">
    <w:name w:val="heading 8"/>
    <w:basedOn w:val="Normal"/>
    <w:next w:val="Normal"/>
    <w:link w:val="Heading8Char"/>
    <w:qFormat/>
    <w:rsid w:val="00FC10B6"/>
    <w:pPr>
      <w:ind w:left="720"/>
      <w:outlineLvl w:val="7"/>
    </w:pPr>
    <w:rPr>
      <w:i/>
    </w:rPr>
  </w:style>
  <w:style w:type="paragraph" w:styleId="Heading9">
    <w:name w:val="heading 9"/>
    <w:basedOn w:val="Normal"/>
    <w:next w:val="Normal"/>
    <w:link w:val="Heading9Char"/>
    <w:qFormat/>
    <w:rsid w:val="00FC10B6"/>
    <w:pPr>
      <w:ind w:left="720"/>
      <w:outlineLvl w:val="8"/>
    </w:pPr>
    <w:rPr>
      <w:i/>
    </w:rPr>
  </w:style>
  <w:style w:type="character" w:default="1" w:styleId="DefaultParagraphFont">
    <w:name w:val="Default Paragraph Font"/>
    <w:uiPriority w:val="1"/>
    <w:unhideWhenUsed/>
    <w:rsid w:val="00FC10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10B6"/>
  </w:style>
  <w:style w:type="character" w:customStyle="1" w:styleId="Heading1Char">
    <w:name w:val="Heading 1 Char"/>
    <w:basedOn w:val="DefaultParagraphFont"/>
    <w:link w:val="Heading1"/>
    <w:rsid w:val="00FC10B6"/>
    <w:rPr>
      <w:rFonts w:ascii="Times New Roman" w:eastAsia="Times New Roman" w:hAnsi="Times New Roman" w:cs="Times New Roman"/>
      <w:b/>
      <w:sz w:val="32"/>
      <w:szCs w:val="20"/>
      <w:lang w:eastAsia="en-US"/>
    </w:rPr>
  </w:style>
  <w:style w:type="paragraph" w:styleId="BodyText">
    <w:name w:val="Body Text"/>
    <w:basedOn w:val="Normal"/>
    <w:link w:val="BodyTextChar"/>
    <w:rsid w:val="00FC10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10B6"/>
    <w:rPr>
      <w:rFonts w:ascii="Times New Roman" w:eastAsia="Times New Roman" w:hAnsi="Times New Roman" w:cs="Times New Roman"/>
      <w:sz w:val="24"/>
      <w:lang w:eastAsia="en-US"/>
    </w:rPr>
  </w:style>
  <w:style w:type="paragraph" w:styleId="List">
    <w:name w:val="List"/>
    <w:basedOn w:val="BodyText"/>
    <w:next w:val="BodyText"/>
    <w:rsid w:val="00FC10B6"/>
    <w:pPr>
      <w:tabs>
        <w:tab w:val="left" w:pos="340"/>
      </w:tabs>
      <w:spacing w:before="60" w:after="60"/>
      <w:ind w:left="340" w:hanging="340"/>
    </w:pPr>
  </w:style>
  <w:style w:type="paragraph" w:styleId="ListBullet">
    <w:name w:val="List Bullet"/>
    <w:basedOn w:val="List"/>
    <w:rsid w:val="00FC10B6"/>
    <w:pPr>
      <w:numPr>
        <w:numId w:val="11"/>
      </w:numPr>
      <w:tabs>
        <w:tab w:val="clear" w:pos="340"/>
      </w:tabs>
      <w:spacing w:before="40" w:after="40"/>
    </w:pPr>
  </w:style>
  <w:style w:type="character" w:customStyle="1" w:styleId="SpecialBold">
    <w:name w:val="Special Bold"/>
    <w:basedOn w:val="DefaultParagraphFont"/>
    <w:rsid w:val="00FC10B6"/>
    <w:rPr>
      <w:b/>
      <w:spacing w:val="0"/>
    </w:rPr>
  </w:style>
  <w:style w:type="character" w:styleId="Emphasis">
    <w:name w:val="Emphasis"/>
    <w:basedOn w:val="DefaultParagraphFont"/>
    <w:qFormat/>
    <w:rsid w:val="00FC10B6"/>
    <w:rPr>
      <w:i/>
    </w:rPr>
  </w:style>
  <w:style w:type="paragraph" w:customStyle="1" w:styleId="SuperHeading">
    <w:name w:val="SuperHeading"/>
    <w:basedOn w:val="Normal"/>
    <w:rsid w:val="00FC10B6"/>
    <w:pPr>
      <w:spacing w:before="240" w:after="120"/>
      <w:outlineLvl w:val="0"/>
    </w:pPr>
    <w:rPr>
      <w:rFonts w:ascii="Times New Roman" w:hAnsi="Times New Roman"/>
      <w:b/>
      <w:sz w:val="32"/>
    </w:rPr>
  </w:style>
  <w:style w:type="paragraph" w:customStyle="1" w:styleId="AllowPageBreak">
    <w:name w:val="AllowPageBreak"/>
    <w:rsid w:val="00FC10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FC10B6"/>
    <w:rPr>
      <w:rFonts w:ascii="Courier New" w:hAnsi="Courier New"/>
    </w:rPr>
  </w:style>
  <w:style w:type="character" w:customStyle="1" w:styleId="Heading2Char">
    <w:name w:val="Heading 2 Char"/>
    <w:basedOn w:val="DefaultParagraphFont"/>
    <w:link w:val="Heading2"/>
    <w:rsid w:val="00FC10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10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10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10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10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10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10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10B6"/>
    <w:rPr>
      <w:rFonts w:ascii="Courier New" w:eastAsia="Times New Roman" w:hAnsi="Courier New" w:cs="Times New Roman"/>
      <w:i/>
      <w:szCs w:val="20"/>
      <w:lang w:eastAsia="en-US"/>
    </w:rPr>
  </w:style>
  <w:style w:type="paragraph" w:customStyle="1" w:styleId="HeadingBase">
    <w:name w:val="Heading Base"/>
    <w:rsid w:val="00FC10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10B6"/>
    <w:pPr>
      <w:tabs>
        <w:tab w:val="right" w:leader="dot" w:pos="9072"/>
      </w:tabs>
      <w:ind w:left="567"/>
    </w:pPr>
    <w:rPr>
      <w:szCs w:val="22"/>
    </w:rPr>
  </w:style>
  <w:style w:type="paragraph" w:customStyle="1" w:styleId="TOCBase">
    <w:name w:val="TOC Base"/>
    <w:rsid w:val="00FC10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10B6"/>
    <w:pPr>
      <w:tabs>
        <w:tab w:val="right" w:leader="dot" w:pos="9072"/>
      </w:tabs>
      <w:spacing w:before="40" w:after="40"/>
      <w:ind w:left="284"/>
    </w:pPr>
    <w:rPr>
      <w:rFonts w:ascii="Times New Roman" w:hAnsi="Times New Roman"/>
    </w:rPr>
  </w:style>
  <w:style w:type="paragraph" w:styleId="TOC1">
    <w:name w:val="toc 1"/>
    <w:basedOn w:val="TOCBase"/>
    <w:next w:val="Normal"/>
    <w:rsid w:val="00FC10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10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10B6"/>
    <w:rPr>
      <w:rFonts w:ascii="Times New Roman" w:eastAsia="Times New Roman" w:hAnsi="Times New Roman" w:cs="Times New Roman"/>
      <w:sz w:val="16"/>
      <w:lang w:eastAsia="en-US"/>
    </w:rPr>
  </w:style>
  <w:style w:type="paragraph" w:styleId="Title">
    <w:name w:val="Title"/>
    <w:basedOn w:val="HeadingBase"/>
    <w:link w:val="TitleChar"/>
    <w:qFormat/>
    <w:rsid w:val="00FC10B6"/>
    <w:pPr>
      <w:spacing w:before="5040"/>
      <w:jc w:val="center"/>
    </w:pPr>
    <w:rPr>
      <w:sz w:val="48"/>
      <w:szCs w:val="72"/>
      <w:lang w:val="en-US"/>
    </w:rPr>
  </w:style>
  <w:style w:type="character" w:customStyle="1" w:styleId="TitleChar">
    <w:name w:val="Title Char"/>
    <w:basedOn w:val="DefaultParagraphFont"/>
    <w:link w:val="Title"/>
    <w:rsid w:val="00FC10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10B6"/>
    <w:pPr>
      <w:tabs>
        <w:tab w:val="left" w:pos="3600"/>
        <w:tab w:val="left" w:pos="3958"/>
      </w:tabs>
    </w:pPr>
  </w:style>
  <w:style w:type="paragraph" w:customStyle="1" w:styleId="Note">
    <w:name w:val="Note"/>
    <w:basedOn w:val="BodyText"/>
    <w:rsid w:val="00FC10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10B6"/>
    <w:pPr>
      <w:framePr w:wrap="auto" w:hAnchor="text" w:y="6049"/>
    </w:pPr>
    <w:rPr>
      <w:color w:val="000000"/>
      <w:sz w:val="40"/>
    </w:rPr>
  </w:style>
  <w:style w:type="paragraph" w:customStyle="1" w:styleId="TOCTitle">
    <w:name w:val="TOCTitle"/>
    <w:basedOn w:val="Heading1"/>
    <w:rsid w:val="00FC10B6"/>
    <w:pPr>
      <w:spacing w:after="240"/>
      <w:jc w:val="center"/>
      <w:outlineLvl w:val="9"/>
    </w:pPr>
    <w:rPr>
      <w:caps/>
    </w:rPr>
  </w:style>
  <w:style w:type="paragraph" w:customStyle="1" w:styleId="Version">
    <w:name w:val="Version"/>
    <w:rsid w:val="00FC10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10B6"/>
    <w:pPr>
      <w:numPr>
        <w:numId w:val="12"/>
      </w:numPr>
      <w:tabs>
        <w:tab w:val="clear" w:pos="680"/>
      </w:tabs>
    </w:pPr>
  </w:style>
  <w:style w:type="paragraph" w:styleId="Index1">
    <w:name w:val="index 1"/>
    <w:basedOn w:val="Normal"/>
    <w:next w:val="Normal"/>
    <w:semiHidden/>
    <w:rsid w:val="00FC10B6"/>
    <w:pPr>
      <w:keepNext w:val="0"/>
      <w:tabs>
        <w:tab w:val="right" w:pos="4176"/>
      </w:tabs>
      <w:ind w:left="198" w:hanging="198"/>
    </w:pPr>
    <w:rPr>
      <w:rFonts w:ascii="Garamond" w:hAnsi="Garamond"/>
    </w:rPr>
  </w:style>
  <w:style w:type="paragraph" w:styleId="IndexHeading">
    <w:name w:val="index heading"/>
    <w:basedOn w:val="Normal"/>
    <w:next w:val="Index1"/>
    <w:semiHidden/>
    <w:rsid w:val="00FC10B6"/>
    <w:pPr>
      <w:spacing w:before="120" w:after="120"/>
    </w:pPr>
    <w:rPr>
      <w:rFonts w:ascii="Arial" w:hAnsi="Arial"/>
      <w:b/>
      <w:color w:val="918585"/>
      <w:sz w:val="24"/>
    </w:rPr>
  </w:style>
  <w:style w:type="paragraph" w:styleId="Header">
    <w:name w:val="header"/>
    <w:basedOn w:val="Normal"/>
    <w:link w:val="HeaderChar"/>
    <w:rsid w:val="00FC10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10B6"/>
    <w:rPr>
      <w:rFonts w:ascii="Times New Roman" w:eastAsia="Times New Roman" w:hAnsi="Times New Roman" w:cs="Times New Roman"/>
      <w:sz w:val="16"/>
      <w:szCs w:val="20"/>
      <w:lang w:val="en-GB" w:eastAsia="en-US"/>
    </w:rPr>
  </w:style>
  <w:style w:type="paragraph" w:customStyle="1" w:styleId="Chapter">
    <w:name w:val="Chapter"/>
    <w:basedOn w:val="Normal"/>
    <w:rsid w:val="00FC10B6"/>
    <w:pPr>
      <w:spacing w:before="240"/>
    </w:pPr>
    <w:rPr>
      <w:rFonts w:ascii="Times New Roman" w:hAnsi="Times New Roman"/>
      <w:smallCaps/>
      <w:spacing w:val="80"/>
      <w:sz w:val="28"/>
    </w:rPr>
  </w:style>
  <w:style w:type="paragraph" w:customStyle="1" w:styleId="InChapter">
    <w:name w:val="InChapter"/>
    <w:basedOn w:val="Heading3"/>
    <w:rsid w:val="00FC10B6"/>
    <w:pPr>
      <w:spacing w:after="240"/>
      <w:outlineLvl w:val="9"/>
    </w:pPr>
    <w:rPr>
      <w:noProof/>
    </w:rPr>
  </w:style>
  <w:style w:type="paragraph" w:styleId="Index2">
    <w:name w:val="index 2"/>
    <w:basedOn w:val="Normal"/>
    <w:next w:val="Normal"/>
    <w:semiHidden/>
    <w:rsid w:val="00FC10B6"/>
    <w:pPr>
      <w:tabs>
        <w:tab w:val="right" w:pos="4176"/>
      </w:tabs>
      <w:ind w:left="568" w:hanging="284"/>
    </w:pPr>
    <w:rPr>
      <w:rFonts w:ascii="Garamond" w:hAnsi="Garamond"/>
    </w:rPr>
  </w:style>
  <w:style w:type="paragraph" w:customStyle="1" w:styleId="Byline">
    <w:name w:val="Byline"/>
    <w:rsid w:val="00FC10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10B6"/>
    <w:pPr>
      <w:tabs>
        <w:tab w:val="clear" w:pos="3600"/>
        <w:tab w:val="clear" w:pos="3958"/>
      </w:tabs>
      <w:jc w:val="right"/>
    </w:pPr>
  </w:style>
  <w:style w:type="paragraph" w:styleId="Caption">
    <w:name w:val="caption"/>
    <w:basedOn w:val="BodyText"/>
    <w:next w:val="Normal"/>
    <w:qFormat/>
    <w:rsid w:val="00FC10B6"/>
    <w:pPr>
      <w:framePr w:w="2268" w:hSpace="181" w:vSpace="181" w:wrap="around" w:vAnchor="text" w:hAnchor="page" w:x="1135" w:y="285" w:anchorLock="1"/>
    </w:pPr>
    <w:rPr>
      <w:i/>
    </w:rPr>
  </w:style>
  <w:style w:type="paragraph" w:customStyle="1" w:styleId="MiniTOCTitle">
    <w:name w:val="MiniTOCTitle"/>
    <w:basedOn w:val="Heading4"/>
    <w:rsid w:val="00FC10B6"/>
    <w:pPr>
      <w:spacing w:before="240"/>
      <w:outlineLvl w:val="9"/>
    </w:pPr>
    <w:rPr>
      <w:noProof/>
      <w:sz w:val="24"/>
    </w:rPr>
  </w:style>
  <w:style w:type="paragraph" w:customStyle="1" w:styleId="MiniTOCItem">
    <w:name w:val="MiniTOCItem"/>
    <w:basedOn w:val="ListBullet"/>
    <w:rsid w:val="00FC10B6"/>
    <w:pPr>
      <w:numPr>
        <w:numId w:val="0"/>
      </w:numPr>
      <w:tabs>
        <w:tab w:val="right" w:leader="dot" w:pos="6521"/>
      </w:tabs>
      <w:spacing w:before="0" w:after="0"/>
    </w:pPr>
  </w:style>
  <w:style w:type="paragraph" w:customStyle="1" w:styleId="TOFTitle">
    <w:name w:val="TOFTitle"/>
    <w:basedOn w:val="TOCTitle"/>
    <w:rsid w:val="00FC10B6"/>
  </w:style>
  <w:style w:type="paragraph" w:styleId="TableofFigures">
    <w:name w:val="table of figures"/>
    <w:basedOn w:val="Normal"/>
    <w:next w:val="Normal"/>
    <w:semiHidden/>
    <w:rsid w:val="00FC10B6"/>
    <w:pPr>
      <w:tabs>
        <w:tab w:val="right" w:leader="dot" w:pos="9072"/>
      </w:tabs>
      <w:ind w:left="970" w:hanging="403"/>
    </w:pPr>
    <w:rPr>
      <w:rFonts w:ascii="Times New Roman" w:hAnsi="Times New Roman"/>
      <w:b/>
    </w:rPr>
  </w:style>
  <w:style w:type="paragraph" w:styleId="ListNumber">
    <w:name w:val="List Number"/>
    <w:basedOn w:val="List"/>
    <w:rsid w:val="00FC10B6"/>
    <w:pPr>
      <w:numPr>
        <w:numId w:val="14"/>
      </w:numPr>
      <w:tabs>
        <w:tab w:val="clear" w:pos="340"/>
      </w:tabs>
    </w:pPr>
  </w:style>
  <w:style w:type="character" w:customStyle="1" w:styleId="WingdingSymbols">
    <w:name w:val="Wingding Symbols"/>
    <w:rsid w:val="00FC10B6"/>
    <w:rPr>
      <w:rFonts w:ascii="Wingdings" w:hAnsi="Wingdings"/>
    </w:rPr>
  </w:style>
  <w:style w:type="paragraph" w:customStyle="1" w:styleId="TableHeading">
    <w:name w:val="Table Heading"/>
    <w:basedOn w:val="HeadingBase"/>
    <w:rsid w:val="00FC10B6"/>
    <w:pPr>
      <w:keepLines/>
      <w:pBdr>
        <w:bottom w:val="single" w:sz="6" w:space="1" w:color="918585"/>
      </w:pBdr>
      <w:spacing w:before="240"/>
    </w:pPr>
  </w:style>
  <w:style w:type="character" w:customStyle="1" w:styleId="HotSpot">
    <w:name w:val="HotSpot"/>
    <w:rsid w:val="00FC10B6"/>
    <w:rPr>
      <w:color w:val="0033CC"/>
      <w:u w:val="none"/>
    </w:rPr>
  </w:style>
  <w:style w:type="paragraph" w:customStyle="1" w:styleId="BodyTextRight">
    <w:name w:val="Body Text Right"/>
    <w:basedOn w:val="BodyText"/>
    <w:rsid w:val="00FC10B6"/>
    <w:pPr>
      <w:spacing w:before="0" w:after="0"/>
      <w:jc w:val="right"/>
    </w:pPr>
  </w:style>
  <w:style w:type="paragraph" w:styleId="Index3">
    <w:name w:val="index 3"/>
    <w:basedOn w:val="ListNumber2"/>
    <w:next w:val="Normal"/>
    <w:semiHidden/>
    <w:rsid w:val="00FC10B6"/>
    <w:pPr>
      <w:numPr>
        <w:numId w:val="0"/>
      </w:numPr>
      <w:tabs>
        <w:tab w:val="right" w:leader="dot" w:pos="4176"/>
      </w:tabs>
    </w:pPr>
  </w:style>
  <w:style w:type="paragraph" w:styleId="ListNumber2">
    <w:name w:val="List Number 2"/>
    <w:basedOn w:val="List2"/>
    <w:rsid w:val="00FC10B6"/>
    <w:pPr>
      <w:numPr>
        <w:numId w:val="9"/>
      </w:numPr>
      <w:tabs>
        <w:tab w:val="clear" w:pos="1060"/>
      </w:tabs>
    </w:pPr>
  </w:style>
  <w:style w:type="paragraph" w:customStyle="1" w:styleId="MarginNote">
    <w:name w:val="Margin Note"/>
    <w:basedOn w:val="BodyText"/>
    <w:rsid w:val="00FC10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10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10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10B6"/>
    <w:rPr>
      <w:sz w:val="32"/>
    </w:rPr>
  </w:style>
  <w:style w:type="paragraph" w:customStyle="1" w:styleId="HeadingProcedure">
    <w:name w:val="Heading Procedure"/>
    <w:basedOn w:val="HeadingBase"/>
    <w:next w:val="Normal"/>
    <w:rsid w:val="00FC10B6"/>
    <w:pPr>
      <w:tabs>
        <w:tab w:val="left" w:pos="0"/>
      </w:tabs>
      <w:spacing w:before="120" w:after="60"/>
    </w:pPr>
    <w:rPr>
      <w:i/>
      <w:color w:val="918585"/>
      <w:sz w:val="22"/>
    </w:rPr>
  </w:style>
  <w:style w:type="paragraph" w:customStyle="1" w:styleId="TableBodyText">
    <w:name w:val="Table Body Text"/>
    <w:basedOn w:val="BodyText"/>
    <w:rsid w:val="00FC10B6"/>
    <w:pPr>
      <w:spacing w:before="60" w:after="60"/>
    </w:pPr>
  </w:style>
  <w:style w:type="paragraph" w:styleId="ListContinue">
    <w:name w:val="List Continue"/>
    <w:basedOn w:val="List"/>
    <w:rsid w:val="00FC10B6"/>
    <w:pPr>
      <w:ind w:firstLine="0"/>
    </w:pPr>
  </w:style>
  <w:style w:type="paragraph" w:customStyle="1" w:styleId="ListNote">
    <w:name w:val="List Note"/>
    <w:basedOn w:val="List"/>
    <w:rsid w:val="00FC10B6"/>
    <w:pPr>
      <w:pBdr>
        <w:top w:val="single" w:sz="6" w:space="2" w:color="918585"/>
        <w:bottom w:val="single" w:sz="6" w:space="2" w:color="918585"/>
      </w:pBdr>
      <w:tabs>
        <w:tab w:val="left" w:pos="1021"/>
      </w:tabs>
      <w:ind w:firstLine="0"/>
    </w:pPr>
  </w:style>
  <w:style w:type="paragraph" w:customStyle="1" w:styleId="Warning">
    <w:name w:val="Warning"/>
    <w:basedOn w:val="BodyText"/>
    <w:rsid w:val="00FC10B6"/>
    <w:pPr>
      <w:shd w:val="clear" w:color="auto" w:fill="D9D9D9"/>
      <w:tabs>
        <w:tab w:val="left" w:pos="992"/>
      </w:tabs>
      <w:ind w:left="119" w:right="119"/>
    </w:pPr>
    <w:rPr>
      <w:sz w:val="20"/>
    </w:rPr>
  </w:style>
  <w:style w:type="paragraph" w:customStyle="1" w:styleId="MarginIcons">
    <w:name w:val="Margin Icons"/>
    <w:basedOn w:val="BodyText"/>
    <w:rsid w:val="00FC10B6"/>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FC10B6"/>
    <w:pPr>
      <w:tabs>
        <w:tab w:val="clear" w:pos="680"/>
      </w:tabs>
      <w:spacing w:before="60" w:after="60"/>
    </w:pPr>
  </w:style>
  <w:style w:type="paragraph" w:customStyle="1" w:styleId="SubHeading2">
    <w:name w:val="SubHeading2"/>
    <w:basedOn w:val="HeadingBase"/>
    <w:rsid w:val="00FC10B6"/>
    <w:pPr>
      <w:spacing w:before="240" w:after="60"/>
    </w:pPr>
    <w:rPr>
      <w:sz w:val="20"/>
    </w:rPr>
  </w:style>
  <w:style w:type="paragraph" w:customStyle="1" w:styleId="SubHeading1">
    <w:name w:val="SubHeading1"/>
    <w:basedOn w:val="HeadingBase"/>
    <w:rsid w:val="00FC10B6"/>
    <w:pPr>
      <w:spacing w:before="240" w:after="60"/>
    </w:pPr>
    <w:rPr>
      <w:color w:val="918585"/>
      <w:sz w:val="22"/>
    </w:rPr>
  </w:style>
  <w:style w:type="paragraph" w:customStyle="1" w:styleId="SideHeading">
    <w:name w:val="Side Heading"/>
    <w:basedOn w:val="HeadingBase"/>
    <w:rsid w:val="00FC10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10B6"/>
    <w:pPr>
      <w:numPr>
        <w:numId w:val="10"/>
      </w:numPr>
    </w:pPr>
  </w:style>
  <w:style w:type="paragraph" w:styleId="PlainText">
    <w:name w:val="Plain Text"/>
    <w:basedOn w:val="Normal"/>
    <w:link w:val="PlainTextChar"/>
    <w:rsid w:val="00FC10B6"/>
    <w:rPr>
      <w:sz w:val="20"/>
    </w:rPr>
  </w:style>
  <w:style w:type="character" w:customStyle="1" w:styleId="PlainTextChar">
    <w:name w:val="Plain Text Char"/>
    <w:basedOn w:val="DefaultParagraphFont"/>
    <w:link w:val="PlainText"/>
    <w:rsid w:val="00FC10B6"/>
    <w:rPr>
      <w:rFonts w:ascii="Courier New" w:eastAsia="Times New Roman" w:hAnsi="Courier New" w:cs="Times New Roman"/>
      <w:sz w:val="20"/>
      <w:szCs w:val="20"/>
      <w:lang w:eastAsia="en-US"/>
    </w:rPr>
  </w:style>
  <w:style w:type="character" w:customStyle="1" w:styleId="MenuOption">
    <w:name w:val="Menu Option"/>
    <w:basedOn w:val="DefaultParagraphFont"/>
    <w:rsid w:val="00FC10B6"/>
    <w:rPr>
      <w:b/>
      <w:smallCaps/>
    </w:rPr>
  </w:style>
  <w:style w:type="paragraph" w:customStyle="1" w:styleId="TableListNumber">
    <w:name w:val="Table List Number"/>
    <w:basedOn w:val="ListNumber"/>
    <w:rsid w:val="00FC10B6"/>
    <w:pPr>
      <w:numPr>
        <w:numId w:val="0"/>
      </w:numPr>
    </w:pPr>
  </w:style>
  <w:style w:type="paragraph" w:styleId="TOC4">
    <w:name w:val="toc 4"/>
    <w:basedOn w:val="TOCBase"/>
    <w:next w:val="Normal"/>
    <w:semiHidden/>
    <w:rsid w:val="00FC10B6"/>
    <w:pPr>
      <w:tabs>
        <w:tab w:val="right" w:leader="dot" w:pos="9071"/>
      </w:tabs>
      <w:ind w:left="1701"/>
    </w:pPr>
  </w:style>
  <w:style w:type="paragraph" w:customStyle="1" w:styleId="ListAlpha">
    <w:name w:val="List Alpha"/>
    <w:basedOn w:val="List"/>
    <w:rsid w:val="00FC10B6"/>
    <w:pPr>
      <w:numPr>
        <w:numId w:val="8"/>
      </w:numPr>
    </w:pPr>
  </w:style>
  <w:style w:type="paragraph" w:customStyle="1" w:styleId="ListAlpha2">
    <w:name w:val="List Alpha 2"/>
    <w:basedOn w:val="List2"/>
    <w:rsid w:val="00FC10B6"/>
    <w:pPr>
      <w:numPr>
        <w:numId w:val="7"/>
      </w:numPr>
    </w:pPr>
  </w:style>
  <w:style w:type="paragraph" w:styleId="List2">
    <w:name w:val="List 2"/>
    <w:basedOn w:val="BodyText"/>
    <w:rsid w:val="00FC10B6"/>
    <w:pPr>
      <w:tabs>
        <w:tab w:val="left" w:pos="680"/>
      </w:tabs>
      <w:spacing w:before="60" w:after="60"/>
      <w:ind w:left="680" w:hanging="340"/>
    </w:pPr>
  </w:style>
  <w:style w:type="paragraph" w:styleId="List3">
    <w:name w:val="List 3"/>
    <w:basedOn w:val="BodyText"/>
    <w:rsid w:val="00FC10B6"/>
    <w:pPr>
      <w:tabs>
        <w:tab w:val="left" w:pos="1021"/>
      </w:tabs>
      <w:spacing w:before="60" w:after="60"/>
      <w:ind w:left="1020" w:hanging="340"/>
    </w:pPr>
  </w:style>
  <w:style w:type="paragraph" w:styleId="List4">
    <w:name w:val="List 4"/>
    <w:basedOn w:val="BodyText"/>
    <w:rsid w:val="00FC10B6"/>
    <w:pPr>
      <w:tabs>
        <w:tab w:val="left" w:pos="1361"/>
      </w:tabs>
      <w:spacing w:before="60" w:after="60"/>
      <w:ind w:left="1361" w:hanging="340"/>
    </w:pPr>
  </w:style>
  <w:style w:type="paragraph" w:styleId="List5">
    <w:name w:val="List 5"/>
    <w:basedOn w:val="BodyText"/>
    <w:rsid w:val="00FC10B6"/>
    <w:pPr>
      <w:tabs>
        <w:tab w:val="left" w:pos="1701"/>
      </w:tabs>
      <w:spacing w:before="60" w:after="60"/>
      <w:ind w:left="1701" w:hanging="340"/>
    </w:pPr>
  </w:style>
  <w:style w:type="paragraph" w:styleId="ListBullet3">
    <w:name w:val="List Bullet 3"/>
    <w:basedOn w:val="List3"/>
    <w:rsid w:val="00FC10B6"/>
    <w:pPr>
      <w:numPr>
        <w:numId w:val="13"/>
      </w:numPr>
      <w:tabs>
        <w:tab w:val="clear" w:pos="1021"/>
      </w:tabs>
      <w:ind w:left="1037" w:hanging="357"/>
    </w:pPr>
  </w:style>
  <w:style w:type="paragraph" w:styleId="ListBullet4">
    <w:name w:val="List Bullet 4"/>
    <w:basedOn w:val="List4"/>
    <w:rsid w:val="00FC10B6"/>
    <w:pPr>
      <w:numPr>
        <w:numId w:val="2"/>
      </w:numPr>
      <w:tabs>
        <w:tab w:val="clear" w:pos="1361"/>
      </w:tabs>
    </w:pPr>
  </w:style>
  <w:style w:type="paragraph" w:styleId="ListBullet5">
    <w:name w:val="List Bullet 5"/>
    <w:basedOn w:val="List5"/>
    <w:rsid w:val="00FC10B6"/>
    <w:pPr>
      <w:numPr>
        <w:numId w:val="3"/>
      </w:numPr>
    </w:pPr>
  </w:style>
  <w:style w:type="paragraph" w:styleId="ListContinue2">
    <w:name w:val="List Continue 2"/>
    <w:basedOn w:val="List2"/>
    <w:rsid w:val="00FC10B6"/>
    <w:pPr>
      <w:ind w:firstLine="0"/>
    </w:pPr>
  </w:style>
  <w:style w:type="paragraph" w:styleId="ListContinue3">
    <w:name w:val="List Continue 3"/>
    <w:basedOn w:val="List3"/>
    <w:rsid w:val="00FC10B6"/>
    <w:pPr>
      <w:ind w:left="1021" w:firstLine="0"/>
    </w:pPr>
  </w:style>
  <w:style w:type="paragraph" w:styleId="ListContinue4">
    <w:name w:val="List Continue 4"/>
    <w:basedOn w:val="List4"/>
    <w:rsid w:val="00FC10B6"/>
    <w:pPr>
      <w:ind w:firstLine="0"/>
    </w:pPr>
  </w:style>
  <w:style w:type="paragraph" w:styleId="ListContinue5">
    <w:name w:val="List Continue 5"/>
    <w:basedOn w:val="List5"/>
    <w:rsid w:val="00FC10B6"/>
    <w:pPr>
      <w:ind w:firstLine="0"/>
    </w:pPr>
  </w:style>
  <w:style w:type="paragraph" w:styleId="ListNumber3">
    <w:name w:val="List Number 3"/>
    <w:basedOn w:val="List3"/>
    <w:rsid w:val="00FC10B6"/>
    <w:pPr>
      <w:numPr>
        <w:numId w:val="4"/>
      </w:numPr>
    </w:pPr>
  </w:style>
  <w:style w:type="paragraph" w:styleId="ListNumber4">
    <w:name w:val="List Number 4"/>
    <w:basedOn w:val="List4"/>
    <w:rsid w:val="00FC10B6"/>
    <w:pPr>
      <w:numPr>
        <w:numId w:val="5"/>
      </w:numPr>
    </w:pPr>
  </w:style>
  <w:style w:type="paragraph" w:styleId="ListNumber5">
    <w:name w:val="List Number 5"/>
    <w:basedOn w:val="List5"/>
    <w:rsid w:val="00FC10B6"/>
    <w:pPr>
      <w:numPr>
        <w:numId w:val="6"/>
      </w:numPr>
    </w:pPr>
  </w:style>
  <w:style w:type="paragraph" w:styleId="BlockText">
    <w:name w:val="Block Text"/>
    <w:basedOn w:val="Normal"/>
    <w:rsid w:val="00FC10B6"/>
    <w:pPr>
      <w:spacing w:after="120"/>
      <w:ind w:left="1440" w:right="1440"/>
    </w:pPr>
  </w:style>
  <w:style w:type="character" w:customStyle="1" w:styleId="Subscript">
    <w:name w:val="Subscript"/>
    <w:basedOn w:val="DefaultParagraphFont"/>
    <w:rsid w:val="00FC10B6"/>
    <w:rPr>
      <w:sz w:val="16"/>
      <w:vertAlign w:val="subscript"/>
    </w:rPr>
  </w:style>
  <w:style w:type="character" w:customStyle="1" w:styleId="Superscript">
    <w:name w:val="Superscript"/>
    <w:basedOn w:val="DefaultParagraphFont"/>
    <w:rsid w:val="00FC10B6"/>
    <w:rPr>
      <w:sz w:val="16"/>
      <w:vertAlign w:val="superscript"/>
    </w:rPr>
  </w:style>
  <w:style w:type="character" w:customStyle="1" w:styleId="Symbols">
    <w:name w:val="Symbols"/>
    <w:basedOn w:val="DefaultParagraphFont"/>
    <w:rsid w:val="00FC10B6"/>
    <w:rPr>
      <w:rFonts w:ascii="Symbol" w:hAnsi="Symbol"/>
    </w:rPr>
  </w:style>
  <w:style w:type="character" w:customStyle="1" w:styleId="MenuOptions">
    <w:name w:val="Menu Options"/>
    <w:basedOn w:val="DefaultParagraphFont"/>
    <w:rsid w:val="00FC10B6"/>
    <w:rPr>
      <w:rFonts w:ascii="Arial Narrow" w:hAnsi="Arial Narrow"/>
      <w:smallCaps/>
    </w:rPr>
  </w:style>
  <w:style w:type="character" w:customStyle="1" w:styleId="Buttons">
    <w:name w:val="Buttons"/>
    <w:basedOn w:val="DefaultParagraphFont"/>
    <w:rsid w:val="00FC10B6"/>
    <w:rPr>
      <w:b/>
    </w:rPr>
  </w:style>
  <w:style w:type="character" w:customStyle="1" w:styleId="Underlined">
    <w:name w:val="Underlined"/>
    <w:basedOn w:val="DefaultParagraphFont"/>
    <w:rsid w:val="00FC10B6"/>
    <w:rPr>
      <w:u w:val="single"/>
    </w:rPr>
  </w:style>
  <w:style w:type="paragraph" w:customStyle="1" w:styleId="TableBodyTextRight">
    <w:name w:val="Table Body Text Right"/>
    <w:basedOn w:val="TableBodyText"/>
    <w:rsid w:val="00FC10B6"/>
    <w:pPr>
      <w:widowControl w:val="0"/>
      <w:autoSpaceDE w:val="0"/>
      <w:autoSpaceDN w:val="0"/>
      <w:adjustRightInd w:val="0"/>
      <w:jc w:val="right"/>
    </w:pPr>
    <w:rPr>
      <w:rFonts w:cs="Arial"/>
      <w:szCs w:val="18"/>
    </w:rPr>
  </w:style>
  <w:style w:type="paragraph" w:customStyle="1" w:styleId="CopyrightText">
    <w:name w:val="Copyright Text"/>
    <w:basedOn w:val="BodyText"/>
    <w:rsid w:val="00FC10B6"/>
    <w:rPr>
      <w:sz w:val="18"/>
    </w:rPr>
  </w:style>
  <w:style w:type="paragraph" w:customStyle="1" w:styleId="BodySmallRight">
    <w:name w:val="Body Small Right"/>
    <w:basedOn w:val="BodyTextRight"/>
    <w:rsid w:val="00FC10B6"/>
    <w:rPr>
      <w:sz w:val="18"/>
      <w:szCs w:val="18"/>
    </w:rPr>
  </w:style>
  <w:style w:type="paragraph" w:customStyle="1" w:styleId="MarginEdition">
    <w:name w:val="Margin Edition"/>
    <w:basedOn w:val="MarginNote"/>
    <w:rsid w:val="00FC10B6"/>
    <w:pPr>
      <w:spacing w:before="0" w:after="0"/>
    </w:pPr>
    <w:rPr>
      <w:rFonts w:ascii="Times New Roman" w:hAnsi="Times New Roman"/>
      <w:color w:val="999999"/>
    </w:rPr>
  </w:style>
  <w:style w:type="paragraph" w:customStyle="1" w:styleId="Spacer">
    <w:name w:val="Spacer"/>
    <w:basedOn w:val="Normal"/>
    <w:rsid w:val="00FC10B6"/>
    <w:rPr>
      <w:sz w:val="2"/>
      <w:szCs w:val="2"/>
    </w:rPr>
  </w:style>
  <w:style w:type="character" w:customStyle="1" w:styleId="Small">
    <w:name w:val="Small"/>
    <w:basedOn w:val="DefaultParagraphFont"/>
    <w:rsid w:val="00FC10B6"/>
    <w:rPr>
      <w:sz w:val="16"/>
    </w:rPr>
  </w:style>
  <w:style w:type="paragraph" w:customStyle="1" w:styleId="WideTable">
    <w:name w:val="Wide Table"/>
    <w:basedOn w:val="Normal"/>
    <w:rsid w:val="00FC10B6"/>
    <w:pPr>
      <w:ind w:left="-1418"/>
    </w:pPr>
    <w:rPr>
      <w:sz w:val="2"/>
      <w:szCs w:val="2"/>
    </w:rPr>
  </w:style>
  <w:style w:type="character" w:styleId="PageNumber">
    <w:name w:val="page number"/>
    <w:basedOn w:val="DefaultParagraphFont"/>
    <w:rsid w:val="00FC10B6"/>
  </w:style>
  <w:style w:type="paragraph" w:styleId="Quote">
    <w:name w:val="Quote"/>
    <w:basedOn w:val="Heading1"/>
    <w:link w:val="QuoteChar"/>
    <w:qFormat/>
    <w:rsid w:val="00FC10B6"/>
    <w:rPr>
      <w:b w:val="0"/>
      <w:sz w:val="72"/>
      <w:szCs w:val="72"/>
      <w:lang w:val="en-NZ"/>
    </w:rPr>
  </w:style>
  <w:style w:type="character" w:customStyle="1" w:styleId="QuoteChar">
    <w:name w:val="Quote Char"/>
    <w:basedOn w:val="DefaultParagraphFont"/>
    <w:link w:val="Quote"/>
    <w:rsid w:val="00FC10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10B6"/>
    <w:pPr>
      <w:pageBreakBefore/>
    </w:pPr>
  </w:style>
  <w:style w:type="paragraph" w:customStyle="1" w:styleId="Border">
    <w:name w:val="Border"/>
    <w:basedOn w:val="Normal"/>
    <w:qFormat/>
    <w:rsid w:val="00FC10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10B6"/>
    <w:rPr>
      <w:b/>
      <w:bCs/>
      <w:i/>
      <w:iCs/>
      <w:color w:val="auto"/>
    </w:rPr>
  </w:style>
  <w:style w:type="paragraph" w:styleId="IntenseQuote">
    <w:name w:val="Intense Quote"/>
    <w:basedOn w:val="Normal"/>
    <w:next w:val="Normal"/>
    <w:link w:val="IntenseQuoteChar"/>
    <w:uiPriority w:val="30"/>
    <w:qFormat/>
    <w:rsid w:val="00FC10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10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10B6"/>
    <w:rPr>
      <w:smallCaps/>
      <w:color w:val="auto"/>
      <w:u w:val="single"/>
    </w:rPr>
  </w:style>
  <w:style w:type="character" w:styleId="IntenseReference">
    <w:name w:val="Intense Reference"/>
    <w:basedOn w:val="DefaultParagraphFont"/>
    <w:uiPriority w:val="32"/>
    <w:qFormat/>
    <w:rsid w:val="00FC10B6"/>
    <w:rPr>
      <w:b/>
      <w:bCs/>
      <w:smallCaps/>
      <w:color w:val="auto"/>
      <w:spacing w:val="5"/>
      <w:u w:val="single"/>
    </w:rPr>
  </w:style>
  <w:style w:type="paragraph" w:customStyle="1" w:styleId="2ColumnHeading">
    <w:name w:val="2Column Heading"/>
    <w:basedOn w:val="BodyText"/>
    <w:qFormat/>
    <w:rsid w:val="00FC10B6"/>
    <w:pPr>
      <w:spacing w:after="60"/>
      <w:ind w:left="-2268"/>
    </w:pPr>
    <w:rPr>
      <w:b/>
    </w:rPr>
  </w:style>
  <w:style w:type="paragraph" w:customStyle="1" w:styleId="Heading1TOC">
    <w:name w:val="Heading1 TOC"/>
    <w:basedOn w:val="Normal"/>
    <w:qFormat/>
    <w:rsid w:val="00FC10B6"/>
    <w:pPr>
      <w:spacing w:before="240" w:after="120"/>
    </w:pPr>
    <w:rPr>
      <w:rFonts w:ascii="Times New Roman" w:hAnsi="Times New Roman"/>
      <w:b/>
      <w:sz w:val="32"/>
    </w:rPr>
  </w:style>
  <w:style w:type="paragraph" w:customStyle="1" w:styleId="Heading2TOC">
    <w:name w:val="Heading2 TOC"/>
    <w:basedOn w:val="Normal"/>
    <w:qFormat/>
    <w:rsid w:val="00FC10B6"/>
    <w:pPr>
      <w:spacing w:before="240" w:after="60"/>
    </w:pPr>
    <w:rPr>
      <w:rFonts w:ascii="Times New Roman" w:hAnsi="Times New Roman"/>
      <w:b/>
      <w:sz w:val="28"/>
    </w:rPr>
  </w:style>
  <w:style w:type="character" w:customStyle="1" w:styleId="Underline">
    <w:name w:val="Underline"/>
    <w:basedOn w:val="DefaultParagraphFont"/>
    <w:qFormat/>
    <w:rsid w:val="00FC10B6"/>
    <w:rPr>
      <w:u w:val="single"/>
    </w:rPr>
  </w:style>
  <w:style w:type="character" w:customStyle="1" w:styleId="BoldandItalics">
    <w:name w:val="Bold and Italics"/>
    <w:qFormat/>
    <w:rsid w:val="00FC10B6"/>
    <w:rPr>
      <w:b/>
      <w:i/>
      <w:u w:val="none"/>
    </w:rPr>
  </w:style>
  <w:style w:type="paragraph" w:styleId="BalloonText">
    <w:name w:val="Balloon Text"/>
    <w:basedOn w:val="Normal"/>
    <w:link w:val="BalloonTextChar"/>
    <w:rsid w:val="00FC10B6"/>
    <w:rPr>
      <w:rFonts w:ascii="Tahoma" w:hAnsi="Tahoma" w:cs="Tahoma"/>
      <w:sz w:val="16"/>
      <w:szCs w:val="16"/>
    </w:rPr>
  </w:style>
  <w:style w:type="character" w:customStyle="1" w:styleId="BalloonTextChar">
    <w:name w:val="Balloon Text Char"/>
    <w:basedOn w:val="DefaultParagraphFont"/>
    <w:link w:val="BalloonText"/>
    <w:rsid w:val="00FC10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10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10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10B6"/>
    <w:rPr>
      <w:b/>
      <w:color w:val="660033"/>
      <w:spacing w:val="0"/>
    </w:rPr>
  </w:style>
  <w:style w:type="paragraph" w:customStyle="1" w:styleId="Nameditemlist">
    <w:name w:val="Named item list"/>
    <w:basedOn w:val="BodyText"/>
    <w:qFormat/>
    <w:rsid w:val="00FC10B6"/>
    <w:pPr>
      <w:tabs>
        <w:tab w:val="left" w:pos="2835"/>
      </w:tabs>
      <w:ind w:left="2835" w:hanging="2835"/>
    </w:pPr>
  </w:style>
  <w:style w:type="paragraph" w:customStyle="1" w:styleId="BodyTextnopadding">
    <w:name w:val="Body Text no padding"/>
    <w:basedOn w:val="BodyText"/>
    <w:qFormat/>
    <w:rsid w:val="00FC10B6"/>
    <w:pPr>
      <w:spacing w:before="0" w:after="0"/>
    </w:pPr>
  </w:style>
  <w:style w:type="paragraph" w:customStyle="1" w:styleId="BodyTextBold">
    <w:name w:val="Body Text Bold"/>
    <w:basedOn w:val="BodyText"/>
    <w:qFormat/>
    <w:rsid w:val="00FC10B6"/>
    <w:rPr>
      <w:b/>
    </w:rPr>
  </w:style>
  <w:style w:type="character" w:styleId="Hyperlink">
    <w:name w:val="Hyperlink"/>
    <w:basedOn w:val="DefaultParagraphFont"/>
    <w:uiPriority w:val="99"/>
    <w:unhideWhenUsed/>
    <w:rsid w:val="006C59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775</Words>
  <Characters>5152</Characters>
  <Application>Microsoft Office Word</Application>
  <DocSecurity>0</DocSecurity>
  <Lines>147</Lines>
  <Paragraphs>82</Paragraphs>
  <ScaleCrop>false</ScaleCrop>
  <Company>Author-it Software Corporation Ltd.</Company>
  <LinksUpToDate>false</LinksUpToDate>
  <CharactersWithSpaces>5845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FNSAML812 Design and assess controls to monitor money laundering and terrorism financing risk</dc:title>
  <dc:subject>Approved</dc:subject>
  <dc:creator>PwC’s Skills for Australia</dc:creator>
  <cp:keywords>Release: 1</cp:keywords>
  <dc:description>Review Date: 12 April 2008</dc:description>
  <cp:lastModifiedBy>HSD_TPCMSd.prod</cp:lastModifiedBy>
  <cp:revision>3</cp:revision>
  <dcterms:created xsi:type="dcterms:W3CDTF">2022-11-03T07:30:00Z</dcterms:created>
  <dcterms:modified xsi:type="dcterms:W3CDTF">2022-11-03T07:30:00Z</dcterms:modified>
</cp:coreProperties>
</file>