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936" w:rsidP="000E79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FNSAML812 Design and assess controls to monitor money laundering and terrorism financing risk</w:t>
      </w:r>
      <w:r>
        <w:fldChar w:fldCharType="end"/>
      </w:r>
    </w:p>
    <w:p w:rsidR="000E7936" w:rsidP="000E7936">
      <w:pPr>
        <w:pStyle w:val="Version"/>
        <w:sectPr w:rsidSect="009832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25C" w:rsidP="0098325C">
      <w:pPr>
        <w:pStyle w:val="SuperHeading"/>
      </w:pPr>
      <w:r w:rsidRPr="0098325C">
        <w:t>Assessment Re</w:t>
      </w:r>
      <w:r w:rsidRPr="0098325C">
        <w:t>quirements for FNSAML812 Design and assess controls to monitor money laundering and terrorism financing risk</w:t>
      </w:r>
    </w:p>
    <w:p w:rsidR="00000000" w:rsidRPr="0098325C" w:rsidP="0098325C">
      <w:pPr>
        <w:pStyle w:val="Heading1"/>
      </w:pPr>
      <w:bookmarkStart w:id="1" w:name="O_1074745"/>
      <w:bookmarkEnd w:id="1"/>
      <w:r w:rsidRPr="009832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832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25C" w:rsidP="0098325C">
            <w:pPr>
              <w:pStyle w:val="BodyText"/>
            </w:pPr>
            <w:r w:rsidRPr="0098325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5C">
            <w:pPr>
              <w:pStyle w:val="BodyText"/>
              <w:rPr>
                <w:lang w:val="en-NZ"/>
              </w:rPr>
            </w:pPr>
            <w:r w:rsidRPr="0098325C">
              <w:rPr>
                <w:rStyle w:val="SpecialBold"/>
              </w:rPr>
              <w:t>Comments</w:t>
            </w:r>
          </w:p>
        </w:tc>
      </w:tr>
      <w:tr w:rsidTr="009832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5C">
            <w:pPr>
              <w:pStyle w:val="BodyText"/>
              <w:rPr>
                <w:lang w:val="en-NZ"/>
              </w:rPr>
            </w:pPr>
            <w:r w:rsidRPr="0098325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25C" w:rsidP="0098325C">
            <w:pPr>
              <w:pStyle w:val="BodyText"/>
            </w:pPr>
            <w:r w:rsidRPr="0098325C">
              <w:t>This version first released with FNS Financial Services Training Package Version 4.0.</w:t>
            </w:r>
          </w:p>
        </w:tc>
      </w:tr>
    </w:tbl>
    <w:p w:rsidR="00000000" w:rsidRPr="0098325C" w:rsidP="0098325C">
      <w:pPr>
        <w:pStyle w:val="BodyText"/>
      </w:pPr>
    </w:p>
    <w:p w:rsidR="00000000" w:rsidRPr="0098325C" w:rsidP="0098325C">
      <w:pPr>
        <w:pStyle w:val="AllowPageBreak"/>
      </w:pPr>
    </w:p>
    <w:p w:rsidR="00000000" w:rsidRPr="0098325C" w:rsidP="0098325C">
      <w:pPr>
        <w:pStyle w:val="Heading1"/>
      </w:pPr>
      <w:bookmarkStart w:id="2" w:name="O_1074748"/>
      <w:bookmarkEnd w:id="2"/>
      <w:r w:rsidRPr="0098325C">
        <w:t>Performance Evidence</w:t>
      </w:r>
    </w:p>
    <w:p w:rsidR="00000000" w:rsidRPr="0098325C" w:rsidP="000E7936">
      <w:pPr>
        <w:pStyle w:val="BodyText"/>
      </w:pPr>
      <w:r w:rsidRPr="0098325C">
        <w:t>The candidate must demonstrate the ability to complete the tasks outlined in the elements, performance criteria and foundation s</w:t>
      </w:r>
      <w:r w:rsidRPr="0098325C">
        <w:t>kills of this unit, including evidence of the ability to:</w:t>
      </w:r>
    </w:p>
    <w:p w:rsidR="00000000" w:rsidRPr="0098325C" w:rsidP="0098325C">
      <w:pPr>
        <w:pStyle w:val="ListBullet"/>
      </w:pPr>
      <w:r w:rsidRPr="0098325C">
        <w:t>design and assess at least one procedural control to monitor money laundering (ML) and terrorism financing (TF) risks in an organisation.</w:t>
      </w:r>
    </w:p>
    <w:p w:rsidR="00000000" w:rsidRPr="0098325C" w:rsidP="0098325C">
      <w:pPr>
        <w:pStyle w:val="BodyText"/>
      </w:pPr>
    </w:p>
    <w:p w:rsidR="00000000" w:rsidRPr="0098325C" w:rsidP="000E7936">
      <w:pPr>
        <w:pStyle w:val="BodyText"/>
      </w:pPr>
      <w:r w:rsidRPr="0098325C">
        <w:t>In the course of the above, the candidate must:</w:t>
      </w:r>
    </w:p>
    <w:p w:rsidR="00000000" w:rsidRPr="0098325C" w:rsidP="0098325C">
      <w:pPr>
        <w:pStyle w:val="ListBullet"/>
      </w:pPr>
      <w:r w:rsidRPr="0098325C">
        <w:t>design an</w:t>
      </w:r>
      <w:r w:rsidRPr="0098325C">
        <w:t>d implement the control to address the ML/TF risk</w:t>
      </w:r>
    </w:p>
    <w:p w:rsidR="00000000" w:rsidRPr="0098325C" w:rsidP="0098325C">
      <w:pPr>
        <w:pStyle w:val="ListBullet"/>
      </w:pPr>
      <w:r w:rsidRPr="0098325C">
        <w:t>develop and document risk assessment criteria for the organisation</w:t>
      </w:r>
    </w:p>
    <w:p w:rsidR="00000000" w:rsidRPr="0098325C" w:rsidP="0098325C">
      <w:pPr>
        <w:pStyle w:val="ListBullet"/>
      </w:pPr>
      <w:r w:rsidRPr="0098325C">
        <w:t>assess organisation’s current exposure to ML/TF risk</w:t>
      </w:r>
    </w:p>
    <w:p w:rsidR="00000000" w:rsidRPr="0098325C" w:rsidP="0098325C">
      <w:pPr>
        <w:pStyle w:val="ListBullet"/>
      </w:pPr>
      <w:r w:rsidRPr="0098325C">
        <w:t>monitor and report on effectiveness of implemented procedural control.</w:t>
      </w:r>
    </w:p>
    <w:p w:rsidR="00000000" w:rsidRPr="0098325C" w:rsidP="0098325C">
      <w:pPr>
        <w:pStyle w:val="AllowPageBreak"/>
      </w:pPr>
    </w:p>
    <w:p w:rsidR="00000000" w:rsidRPr="0098325C" w:rsidP="0098325C">
      <w:pPr>
        <w:pStyle w:val="Heading1"/>
      </w:pPr>
      <w:bookmarkStart w:id="3" w:name="O_1074747"/>
      <w:bookmarkEnd w:id="3"/>
      <w:r w:rsidRPr="0098325C">
        <w:t>Knowledge Evidence</w:t>
      </w:r>
    </w:p>
    <w:p w:rsidR="00000000" w:rsidRPr="0098325C" w:rsidP="000E7936">
      <w:pPr>
        <w:pStyle w:val="BodyText"/>
      </w:pPr>
      <w:r w:rsidRPr="0098325C">
        <w:t>The candidate must be able to demonstrate knowledge to complete the tasks outlined in the elements, performance criteria and foundation skills of this unit, including knowledge of:</w:t>
      </w:r>
    </w:p>
    <w:p w:rsidR="00000000" w:rsidRPr="0098325C" w:rsidP="0098325C">
      <w:pPr>
        <w:pStyle w:val="ListBullet"/>
      </w:pPr>
      <w:r w:rsidRPr="0098325C">
        <w:t xml:space="preserve">risk analysis criteria relevant to evaluation </w:t>
      </w:r>
      <w:r w:rsidRPr="0098325C">
        <w:t>of anti-money laundering and counter terrorism financing (AMLCTF) processes</w:t>
      </w:r>
    </w:p>
    <w:p w:rsidR="00000000" w:rsidRPr="0098325C" w:rsidP="0098325C">
      <w:pPr>
        <w:pStyle w:val="ListBullet"/>
      </w:pPr>
      <w:r w:rsidRPr="0098325C">
        <w:t>money laundering and terrorism financing (ML/TF) risk assessment process, including identification, assessment, evaluation, mitigation and monitoring</w:t>
      </w:r>
    </w:p>
    <w:p w:rsidR="00000000" w:rsidRPr="0098325C" w:rsidP="0098325C">
      <w:pPr>
        <w:pStyle w:val="ListBullet"/>
      </w:pPr>
      <w:r w:rsidRPr="0098325C">
        <w:t>ML/TF risk management tools us</w:t>
      </w:r>
      <w:r w:rsidRPr="0098325C">
        <w:t>ed in organisations and their effectiveness</w:t>
      </w:r>
    </w:p>
    <w:p w:rsidR="00000000" w:rsidRPr="0098325C" w:rsidP="0098325C">
      <w:pPr>
        <w:pStyle w:val="ListBullet"/>
      </w:pPr>
      <w:r w:rsidRPr="0098325C">
        <w:t>organisational processes and procedures for implementing and monitoring ML/TF risk mitigation controls</w:t>
      </w:r>
    </w:p>
    <w:p w:rsidR="00000000" w:rsidRPr="0098325C" w:rsidP="0098325C">
      <w:pPr>
        <w:pStyle w:val="ListBullet"/>
      </w:pPr>
      <w:r w:rsidRPr="0098325C">
        <w:t>regulatory and industry requirements for AML/CTF</w:t>
      </w:r>
    </w:p>
    <w:p w:rsidR="00000000" w:rsidRPr="0098325C" w:rsidP="0098325C">
      <w:pPr>
        <w:pStyle w:val="ListBullet"/>
      </w:pPr>
      <w:r w:rsidRPr="0098325C">
        <w:t>tools and techniques that support effective stakeholder mana</w:t>
      </w:r>
      <w:r w:rsidRPr="0098325C">
        <w:t>gement</w:t>
      </w:r>
    </w:p>
    <w:p w:rsidR="00000000" w:rsidRPr="0098325C" w:rsidP="0098325C">
      <w:pPr>
        <w:pStyle w:val="ListBullet"/>
      </w:pPr>
      <w:r w:rsidRPr="0098325C">
        <w:t>methodologies for data interpretation and analysis</w:t>
      </w:r>
    </w:p>
    <w:p w:rsidR="00000000" w:rsidRPr="0098325C" w:rsidP="0098325C">
      <w:pPr>
        <w:pStyle w:val="ListBullet"/>
      </w:pPr>
      <w:r w:rsidRPr="0098325C">
        <w:t>organisational operations, product knowledge, clientele, systems, channels of access and geographical sphere.</w:t>
      </w:r>
    </w:p>
    <w:p w:rsidR="00000000" w:rsidRPr="0098325C" w:rsidP="0098325C">
      <w:pPr>
        <w:pStyle w:val="AllowPageBreak"/>
      </w:pPr>
    </w:p>
    <w:p w:rsidR="00000000" w:rsidRPr="0098325C" w:rsidP="0098325C">
      <w:pPr>
        <w:pStyle w:val="Heading1"/>
      </w:pPr>
      <w:bookmarkStart w:id="4" w:name="O_1074746"/>
      <w:bookmarkEnd w:id="4"/>
      <w:r w:rsidRPr="0098325C">
        <w:t>Assessment Conditions</w:t>
      </w:r>
    </w:p>
    <w:p w:rsidR="00000000" w:rsidRPr="0098325C" w:rsidP="000E7936">
      <w:pPr>
        <w:pStyle w:val="BodyText"/>
      </w:pPr>
      <w:r w:rsidRPr="0098325C">
        <w:t>Skills in this unit must be demonstrated in a w</w:t>
      </w:r>
      <w:r w:rsidRPr="0098325C">
        <w:t>orkplace or simulated environment where the conditions are typical of those in a working environment in this industry.</w:t>
      </w:r>
    </w:p>
    <w:p w:rsidR="00000000" w:rsidRPr="0098325C" w:rsidP="000E7936">
      <w:pPr>
        <w:pStyle w:val="BodyText"/>
      </w:pPr>
      <w:r w:rsidRPr="0098325C">
        <w:t>This includes access to:</w:t>
      </w:r>
    </w:p>
    <w:p w:rsidR="00000000" w:rsidRPr="0098325C" w:rsidP="0098325C">
      <w:pPr>
        <w:pStyle w:val="ListBullet"/>
      </w:pPr>
      <w:r w:rsidRPr="0098325C">
        <w:t>regulations, standards and codes required to design and assess controls to monitor ML/TF risk</w:t>
      </w:r>
    </w:p>
    <w:p w:rsidR="00000000" w:rsidRPr="0098325C" w:rsidP="0098325C">
      <w:pPr>
        <w:pStyle w:val="ListBullet"/>
      </w:pPr>
      <w:r w:rsidRPr="0098325C">
        <w:t>organisational re</w:t>
      </w:r>
      <w:r w:rsidRPr="0098325C">
        <w:t>cords, policies and procedures required for the performance evidence</w:t>
      </w:r>
    </w:p>
    <w:p w:rsidR="00000000" w:rsidRPr="0098325C" w:rsidP="0098325C">
      <w:pPr>
        <w:pStyle w:val="ListBullet"/>
      </w:pPr>
      <w:r w:rsidRPr="0098325C">
        <w:t>organisational reporting system for suspicious transactions or case study scenarios.</w:t>
      </w:r>
    </w:p>
    <w:p w:rsidR="00000000" w:rsidRPr="0098325C" w:rsidP="0098325C">
      <w:pPr>
        <w:pStyle w:val="BodyText"/>
      </w:pPr>
    </w:p>
    <w:p w:rsidR="00000000" w:rsidRPr="0098325C" w:rsidP="000E7936">
      <w:pPr>
        <w:pStyle w:val="BodyText"/>
      </w:pPr>
      <w:r w:rsidRPr="0098325C">
        <w:t>Assessors of this unit must satisfy the requirements for assessors in applicable vocational education and training legislation, frameworks and/or standards.</w:t>
      </w:r>
    </w:p>
    <w:p w:rsidR="00000000" w:rsidRPr="0098325C" w:rsidP="0098325C">
      <w:pPr>
        <w:pStyle w:val="Heading1"/>
      </w:pPr>
      <w:bookmarkStart w:id="5" w:name="O_1074744"/>
      <w:bookmarkEnd w:id="5"/>
      <w:r w:rsidRPr="0098325C">
        <w:t>Links</w:t>
      </w:r>
    </w:p>
    <w:p w:rsidR="00000000" w:rsidRPr="0098325C" w:rsidP="000E7936">
      <w:pPr>
        <w:pStyle w:val="BodyText"/>
      </w:pPr>
      <w:r w:rsidRPr="009832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32D8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8325C" w:rsidP="0098325C"/>
    <w:sectPr w:rsidSect="009832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2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25C" w:rsidRPr="000E7936" w:rsidP="000E79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2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36" w:rsidP="009832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7936" w:rsidP="009832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7936" w:rsidP="009832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2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25C" w:rsidRPr="000E7936" w:rsidP="000E79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2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36" w:rsidRPr="002D2AF8" w:rsidP="009832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FNSAML812 Design and assess controls to monitor money laundering and terrorism financing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E7936" w:rsidP="009832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8680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0844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2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2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2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2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2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2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2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2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2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2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2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25C"/>
  </w:style>
  <w:style w:type="character" w:customStyle="1" w:styleId="Heading1Char">
    <w:name w:val="Heading 1 Char"/>
    <w:basedOn w:val="DefaultParagraphFont"/>
    <w:link w:val="Heading1"/>
    <w:rsid w:val="009832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2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2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2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325C"/>
    <w:rPr>
      <w:b/>
      <w:spacing w:val="0"/>
    </w:rPr>
  </w:style>
  <w:style w:type="paragraph" w:customStyle="1" w:styleId="SuperHeading">
    <w:name w:val="SuperHeading"/>
    <w:basedOn w:val="Normal"/>
    <w:rsid w:val="009832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2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2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2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2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2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2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2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2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2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2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2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2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2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2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2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2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2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2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2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2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2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32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2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2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32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32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2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2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2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2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2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2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2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2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325C"/>
    <w:rPr>
      <w:i/>
    </w:rPr>
  </w:style>
  <w:style w:type="paragraph" w:styleId="Caption">
    <w:name w:val="caption"/>
    <w:basedOn w:val="BodyText"/>
    <w:next w:val="Normal"/>
    <w:qFormat/>
    <w:rsid w:val="009832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2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2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25C"/>
  </w:style>
  <w:style w:type="paragraph" w:styleId="TableofFigures">
    <w:name w:val="table of figures"/>
    <w:basedOn w:val="Normal"/>
    <w:next w:val="Normal"/>
    <w:semiHidden/>
    <w:rsid w:val="009832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2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325C"/>
    <w:rPr>
      <w:rFonts w:ascii="Wingdings" w:hAnsi="Wingdings"/>
    </w:rPr>
  </w:style>
  <w:style w:type="paragraph" w:customStyle="1" w:styleId="TableHeading">
    <w:name w:val="Table Heading"/>
    <w:basedOn w:val="HeadingBase"/>
    <w:rsid w:val="009832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25C"/>
    <w:rPr>
      <w:color w:val="0033CC"/>
      <w:u w:val="none"/>
    </w:rPr>
  </w:style>
  <w:style w:type="paragraph" w:customStyle="1" w:styleId="BodyTextRight">
    <w:name w:val="Body Text Right"/>
    <w:basedOn w:val="BodyText"/>
    <w:rsid w:val="009832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2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2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2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2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2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25C"/>
    <w:rPr>
      <w:sz w:val="32"/>
    </w:rPr>
  </w:style>
  <w:style w:type="paragraph" w:customStyle="1" w:styleId="HeadingProcedure">
    <w:name w:val="Heading Procedure"/>
    <w:basedOn w:val="HeadingBase"/>
    <w:next w:val="Normal"/>
    <w:rsid w:val="009832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25C"/>
    <w:pPr>
      <w:spacing w:before="60" w:after="60"/>
    </w:pPr>
  </w:style>
  <w:style w:type="paragraph" w:styleId="ListContinue">
    <w:name w:val="List Continue"/>
    <w:basedOn w:val="List"/>
    <w:rsid w:val="0098325C"/>
    <w:pPr>
      <w:ind w:firstLine="0"/>
    </w:pPr>
  </w:style>
  <w:style w:type="paragraph" w:customStyle="1" w:styleId="ListNote">
    <w:name w:val="List Note"/>
    <w:basedOn w:val="List"/>
    <w:rsid w:val="009832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2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2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25C"/>
    <w:rPr>
      <w:rFonts w:ascii="Courier New" w:hAnsi="Courier New"/>
    </w:rPr>
  </w:style>
  <w:style w:type="paragraph" w:customStyle="1" w:styleId="NoteBullet">
    <w:name w:val="Note Bullet"/>
    <w:basedOn w:val="Note"/>
    <w:rsid w:val="009832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2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2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2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2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32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2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25C"/>
    <w:rPr>
      <w:b/>
      <w:smallCaps/>
    </w:rPr>
  </w:style>
  <w:style w:type="paragraph" w:customStyle="1" w:styleId="TableListNumber">
    <w:name w:val="Table List Number"/>
    <w:basedOn w:val="ListNumber"/>
    <w:rsid w:val="009832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2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25C"/>
    <w:pPr>
      <w:numPr>
        <w:numId w:val="8"/>
      </w:numPr>
    </w:pPr>
  </w:style>
  <w:style w:type="paragraph" w:customStyle="1" w:styleId="ListAlpha2">
    <w:name w:val="List Alpha 2"/>
    <w:basedOn w:val="List2"/>
    <w:rsid w:val="0098325C"/>
    <w:pPr>
      <w:numPr>
        <w:numId w:val="7"/>
      </w:numPr>
    </w:pPr>
  </w:style>
  <w:style w:type="paragraph" w:styleId="List2">
    <w:name w:val="List 2"/>
    <w:basedOn w:val="BodyText"/>
    <w:rsid w:val="009832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2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2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2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2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2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325C"/>
    <w:pPr>
      <w:numPr>
        <w:numId w:val="3"/>
      </w:numPr>
    </w:pPr>
  </w:style>
  <w:style w:type="paragraph" w:styleId="ListContinue2">
    <w:name w:val="List Continue 2"/>
    <w:basedOn w:val="List2"/>
    <w:rsid w:val="0098325C"/>
    <w:pPr>
      <w:ind w:firstLine="0"/>
    </w:pPr>
  </w:style>
  <w:style w:type="paragraph" w:styleId="ListContinue3">
    <w:name w:val="List Continue 3"/>
    <w:basedOn w:val="List3"/>
    <w:rsid w:val="0098325C"/>
    <w:pPr>
      <w:ind w:left="1021" w:firstLine="0"/>
    </w:pPr>
  </w:style>
  <w:style w:type="paragraph" w:styleId="ListContinue4">
    <w:name w:val="List Continue 4"/>
    <w:basedOn w:val="List4"/>
    <w:rsid w:val="0098325C"/>
    <w:pPr>
      <w:ind w:firstLine="0"/>
    </w:pPr>
  </w:style>
  <w:style w:type="paragraph" w:styleId="ListContinue5">
    <w:name w:val="List Continue 5"/>
    <w:basedOn w:val="List5"/>
    <w:rsid w:val="0098325C"/>
    <w:pPr>
      <w:ind w:firstLine="0"/>
    </w:pPr>
  </w:style>
  <w:style w:type="paragraph" w:styleId="ListNumber3">
    <w:name w:val="List Number 3"/>
    <w:basedOn w:val="List3"/>
    <w:rsid w:val="0098325C"/>
    <w:pPr>
      <w:numPr>
        <w:numId w:val="4"/>
      </w:numPr>
    </w:pPr>
  </w:style>
  <w:style w:type="paragraph" w:styleId="ListNumber4">
    <w:name w:val="List Number 4"/>
    <w:basedOn w:val="List4"/>
    <w:rsid w:val="0098325C"/>
    <w:pPr>
      <w:numPr>
        <w:numId w:val="5"/>
      </w:numPr>
    </w:pPr>
  </w:style>
  <w:style w:type="paragraph" w:styleId="ListNumber5">
    <w:name w:val="List Number 5"/>
    <w:basedOn w:val="List5"/>
    <w:rsid w:val="0098325C"/>
    <w:pPr>
      <w:numPr>
        <w:numId w:val="6"/>
      </w:numPr>
    </w:pPr>
  </w:style>
  <w:style w:type="paragraph" w:styleId="BlockText">
    <w:name w:val="Block Text"/>
    <w:basedOn w:val="Normal"/>
    <w:rsid w:val="009832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2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25C"/>
    <w:rPr>
      <w:sz w:val="16"/>
      <w:vertAlign w:val="superscript"/>
    </w:rPr>
  </w:style>
  <w:style w:type="character" w:customStyle="1" w:styleId="Symbols">
    <w:name w:val="Symbols"/>
    <w:basedOn w:val="DefaultParagraphFont"/>
    <w:rsid w:val="0098325C"/>
    <w:rPr>
      <w:rFonts w:ascii="Symbol" w:hAnsi="Symbol"/>
    </w:rPr>
  </w:style>
  <w:style w:type="character" w:customStyle="1" w:styleId="MenuOptions">
    <w:name w:val="Menu Options"/>
    <w:basedOn w:val="DefaultParagraphFont"/>
    <w:rsid w:val="009832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25C"/>
    <w:rPr>
      <w:b/>
    </w:rPr>
  </w:style>
  <w:style w:type="character" w:customStyle="1" w:styleId="Underlined">
    <w:name w:val="Underlined"/>
    <w:basedOn w:val="DefaultParagraphFont"/>
    <w:rsid w:val="0098325C"/>
    <w:rPr>
      <w:u w:val="single"/>
    </w:rPr>
  </w:style>
  <w:style w:type="paragraph" w:customStyle="1" w:styleId="TableBodyTextRight">
    <w:name w:val="Table Body Text Right"/>
    <w:basedOn w:val="TableBodyText"/>
    <w:rsid w:val="009832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25C"/>
    <w:rPr>
      <w:sz w:val="18"/>
    </w:rPr>
  </w:style>
  <w:style w:type="paragraph" w:customStyle="1" w:styleId="BodySmallRight">
    <w:name w:val="Body Small Right"/>
    <w:basedOn w:val="BodyTextRight"/>
    <w:rsid w:val="0098325C"/>
    <w:rPr>
      <w:sz w:val="18"/>
      <w:szCs w:val="18"/>
    </w:rPr>
  </w:style>
  <w:style w:type="paragraph" w:customStyle="1" w:styleId="MarginEdition">
    <w:name w:val="Margin Edition"/>
    <w:basedOn w:val="MarginNote"/>
    <w:rsid w:val="009832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25C"/>
    <w:rPr>
      <w:sz w:val="2"/>
      <w:szCs w:val="2"/>
    </w:rPr>
  </w:style>
  <w:style w:type="character" w:customStyle="1" w:styleId="Small">
    <w:name w:val="Small"/>
    <w:basedOn w:val="DefaultParagraphFont"/>
    <w:rsid w:val="0098325C"/>
    <w:rPr>
      <w:sz w:val="16"/>
    </w:rPr>
  </w:style>
  <w:style w:type="paragraph" w:customStyle="1" w:styleId="WideTable">
    <w:name w:val="Wide Table"/>
    <w:basedOn w:val="Normal"/>
    <w:rsid w:val="009832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25C"/>
  </w:style>
  <w:style w:type="paragraph" w:styleId="Quote">
    <w:name w:val="Quote"/>
    <w:basedOn w:val="Heading1"/>
    <w:link w:val="QuoteChar"/>
    <w:qFormat/>
    <w:rsid w:val="009832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2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25C"/>
    <w:pPr>
      <w:pageBreakBefore/>
    </w:pPr>
  </w:style>
  <w:style w:type="paragraph" w:customStyle="1" w:styleId="Border">
    <w:name w:val="Border"/>
    <w:basedOn w:val="Normal"/>
    <w:qFormat/>
    <w:rsid w:val="009832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2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2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2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2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2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2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2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2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25C"/>
    <w:rPr>
      <w:u w:val="single"/>
    </w:rPr>
  </w:style>
  <w:style w:type="character" w:customStyle="1" w:styleId="BoldandItalics">
    <w:name w:val="Bold and Italics"/>
    <w:qFormat/>
    <w:rsid w:val="0098325C"/>
    <w:rPr>
      <w:b/>
      <w:i/>
      <w:u w:val="none"/>
    </w:rPr>
  </w:style>
  <w:style w:type="paragraph" w:styleId="BalloonText">
    <w:name w:val="Balloon Text"/>
    <w:basedOn w:val="Normal"/>
    <w:link w:val="BalloonTextChar"/>
    <w:rsid w:val="009832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2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2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2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2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2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25C"/>
    <w:pPr>
      <w:spacing w:before="0" w:after="0"/>
    </w:pPr>
  </w:style>
  <w:style w:type="paragraph" w:customStyle="1" w:styleId="BodyTextBold">
    <w:name w:val="Body Text Bold"/>
    <w:basedOn w:val="BodyText"/>
    <w:qFormat/>
    <w:rsid w:val="0098325C"/>
    <w:rPr>
      <w:b/>
    </w:rPr>
  </w:style>
  <w:style w:type="character" w:styleId="Hyperlink">
    <w:name w:val="Hyperlink"/>
    <w:basedOn w:val="DefaultParagraphFont"/>
    <w:uiPriority w:val="99"/>
    <w:unhideWhenUsed/>
    <w:rsid w:val="000E7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2542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FNSAML812 Design and assess controls to monitor money laundering and terrorism financing risk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