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94A" w:rsidP="00515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FNSAML811 Design anti-money laundering and counter terrorism financing programs</w:t>
      </w:r>
      <w:r>
        <w:fldChar w:fldCharType="end"/>
      </w:r>
    </w:p>
    <w:p w:rsidR="0051594A" w:rsidP="0051594A">
      <w:pPr>
        <w:pStyle w:val="Version"/>
        <w:sectPr w:rsidSect="00F77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7D2" w:rsidP="00F777D2">
      <w:pPr>
        <w:pStyle w:val="SuperHeading"/>
      </w:pPr>
      <w:r w:rsidRPr="00F777D2">
        <w:t>Assessment Re</w:t>
      </w:r>
      <w:r w:rsidRPr="00F777D2">
        <w:t>quirements for FNSAML811 Design anti-money laundering and counter terrorism financing programs</w:t>
      </w:r>
    </w:p>
    <w:p w:rsidR="00000000" w:rsidRPr="00F777D2" w:rsidP="00F777D2">
      <w:pPr>
        <w:pStyle w:val="Heading1"/>
      </w:pPr>
      <w:bookmarkStart w:id="1" w:name="O_1074699"/>
      <w:bookmarkEnd w:id="1"/>
      <w:r w:rsidRPr="00F777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7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7D2" w:rsidP="00F777D2">
            <w:pPr>
              <w:pStyle w:val="BodyText"/>
            </w:pPr>
            <w:r w:rsidRPr="00F777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7D2">
            <w:pPr>
              <w:pStyle w:val="BodyText"/>
              <w:rPr>
                <w:lang w:val="en-NZ"/>
              </w:rPr>
            </w:pPr>
            <w:r w:rsidRPr="00F777D2">
              <w:rPr>
                <w:rStyle w:val="SpecialBold"/>
              </w:rPr>
              <w:t>Comments</w:t>
            </w:r>
          </w:p>
        </w:tc>
      </w:tr>
      <w:tr w:rsidTr="00F77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7D2">
            <w:pPr>
              <w:pStyle w:val="BodyText"/>
              <w:rPr>
                <w:lang w:val="en-NZ"/>
              </w:rPr>
            </w:pPr>
            <w:r w:rsidRPr="00F777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7D2" w:rsidP="00F777D2">
            <w:pPr>
              <w:pStyle w:val="BodyText"/>
            </w:pPr>
            <w:r w:rsidRPr="00F777D2">
              <w:t>This version first released with FNS Financial Services Training Package Version 4.0.</w:t>
            </w:r>
          </w:p>
        </w:tc>
      </w:tr>
    </w:tbl>
    <w:p w:rsidR="00000000" w:rsidRPr="00F777D2" w:rsidP="00F777D2">
      <w:pPr>
        <w:pStyle w:val="BodyText"/>
      </w:pPr>
    </w:p>
    <w:p w:rsidR="00000000" w:rsidRPr="00F777D2" w:rsidP="00F777D2">
      <w:pPr>
        <w:pStyle w:val="AllowPageBreak"/>
      </w:pPr>
    </w:p>
    <w:p w:rsidR="00000000" w:rsidRPr="00F777D2" w:rsidP="00F777D2">
      <w:pPr>
        <w:pStyle w:val="Heading1"/>
      </w:pPr>
      <w:bookmarkStart w:id="2" w:name="O_1074702"/>
      <w:bookmarkEnd w:id="2"/>
      <w:r w:rsidRPr="00F777D2">
        <w:t>Performance Evidence</w:t>
      </w:r>
    </w:p>
    <w:p w:rsidR="00000000" w:rsidRPr="00F777D2" w:rsidP="0051594A">
      <w:pPr>
        <w:pStyle w:val="BodyText"/>
      </w:pPr>
      <w:r w:rsidRPr="00F777D2">
        <w:t>The candidate must demonstrate the ability to complete the tasks outlined in the elements, performance criteria and foundation skills of this unit, including evidence of the ability to:</w:t>
      </w:r>
    </w:p>
    <w:p w:rsidR="00000000" w:rsidRPr="00F777D2" w:rsidP="00F777D2">
      <w:pPr>
        <w:pStyle w:val="ListBullet"/>
      </w:pPr>
      <w:r w:rsidRPr="00F777D2">
        <w:t>design one anti-money launderi</w:t>
      </w:r>
      <w:r w:rsidRPr="00F777D2">
        <w:t>ng and counter terrorism financing program.</w:t>
      </w:r>
    </w:p>
    <w:p w:rsidR="00000000" w:rsidRPr="00F777D2" w:rsidP="00F777D2">
      <w:pPr>
        <w:pStyle w:val="BodyText"/>
      </w:pPr>
    </w:p>
    <w:p w:rsidR="00000000" w:rsidRPr="00F777D2" w:rsidP="0051594A">
      <w:pPr>
        <w:pStyle w:val="BodyText"/>
      </w:pPr>
      <w:r w:rsidRPr="00F777D2">
        <w:t>In the course of the above, the candidate must:</w:t>
      </w:r>
    </w:p>
    <w:p w:rsidR="00000000" w:rsidRPr="00F777D2" w:rsidP="00F777D2">
      <w:pPr>
        <w:pStyle w:val="ListBullet"/>
      </w:pPr>
      <w:r w:rsidRPr="00F777D2">
        <w:t>present research and analysis findings for requirements for an organisational anti-money laundering and counter terrorism (AML/CTF) program</w:t>
      </w:r>
    </w:p>
    <w:p w:rsidR="00000000" w:rsidRPr="00F777D2" w:rsidP="00F777D2">
      <w:pPr>
        <w:pStyle w:val="ListBullet"/>
      </w:pPr>
      <w:r w:rsidRPr="00F777D2">
        <w:t>oversee development and evaluation of draft policies and procedures</w:t>
      </w:r>
    </w:p>
    <w:p w:rsidR="00000000" w:rsidRPr="00F777D2" w:rsidP="00F777D2">
      <w:pPr>
        <w:pStyle w:val="ListBullet"/>
      </w:pPr>
      <w:r w:rsidRPr="00F777D2">
        <w:t>develop proposal for a new, redesigned or reconfigured AML/CTF program that includes consideration of resource allocations, assessment of risk and prioritised actions and timeframes.</w:t>
      </w:r>
    </w:p>
    <w:p w:rsidR="00000000" w:rsidRPr="00F777D2" w:rsidP="00F777D2">
      <w:pPr>
        <w:pStyle w:val="AllowPageBreak"/>
      </w:pPr>
    </w:p>
    <w:p w:rsidR="00000000" w:rsidRPr="00F777D2" w:rsidP="00F777D2">
      <w:pPr>
        <w:pStyle w:val="Heading1"/>
      </w:pPr>
      <w:bookmarkStart w:id="3" w:name="O_1074701"/>
      <w:bookmarkEnd w:id="3"/>
      <w:r w:rsidRPr="00F777D2">
        <w:t>Knowledge Evidence</w:t>
      </w:r>
    </w:p>
    <w:p w:rsidR="00000000" w:rsidRPr="00F777D2" w:rsidP="0051594A">
      <w:pPr>
        <w:pStyle w:val="BodyText"/>
      </w:pPr>
      <w:r w:rsidRPr="00F777D2">
        <w:t>The candidate must be able to demonstrate knowledge to complete the tasks outlined in the elements, performance criteria and foundation skills of this unit, including knowledge of:</w:t>
      </w:r>
    </w:p>
    <w:p w:rsidR="00000000" w:rsidRPr="00F777D2" w:rsidP="00F777D2">
      <w:pPr>
        <w:pStyle w:val="ListBullet"/>
      </w:pPr>
      <w:r w:rsidRPr="00F777D2">
        <w:t>regulatory requirements that determine AM</w:t>
      </w:r>
      <w:r w:rsidRPr="00F777D2">
        <w:t>L/CTF policy and practice</w:t>
      </w:r>
    </w:p>
    <w:p w:rsidR="00000000" w:rsidRPr="00F777D2" w:rsidP="00F777D2">
      <w:pPr>
        <w:pStyle w:val="ListBullet"/>
      </w:pPr>
      <w:r w:rsidRPr="00F777D2">
        <w:t>implications of Privacy Act 1988 for AML/CTF policies and procedures</w:t>
      </w:r>
    </w:p>
    <w:p w:rsidR="00000000" w:rsidRPr="00F777D2" w:rsidP="00F777D2">
      <w:pPr>
        <w:pStyle w:val="ListBullet"/>
      </w:pPr>
      <w:r w:rsidRPr="00F777D2">
        <w:t>products and services offered by organisation</w:t>
      </w:r>
    </w:p>
    <w:p w:rsidR="00000000" w:rsidRPr="00F777D2" w:rsidP="00F777D2">
      <w:pPr>
        <w:pStyle w:val="ListBullet"/>
      </w:pPr>
      <w:r w:rsidRPr="00F777D2">
        <w:t>national and international regulatory and industry requirements relating to AML/CTF</w:t>
      </w:r>
    </w:p>
    <w:p w:rsidR="00000000" w:rsidRPr="00F777D2" w:rsidP="00F777D2">
      <w:pPr>
        <w:pStyle w:val="ListBullet"/>
      </w:pPr>
      <w:r w:rsidRPr="00F777D2">
        <w:t>methods for measuring AML/CTF c</w:t>
      </w:r>
      <w:r w:rsidRPr="00F777D2">
        <w:t>ompliance against goals and performance criteria</w:t>
      </w:r>
    </w:p>
    <w:p w:rsidR="00000000" w:rsidRPr="00F777D2" w:rsidP="00F777D2">
      <w:pPr>
        <w:pStyle w:val="ListBullet"/>
      </w:pPr>
      <w:r w:rsidRPr="00F777D2">
        <w:t>organisational policies and procedures, system requirements, goals and performance criteria for AML/CTF programs</w:t>
      </w:r>
    </w:p>
    <w:p w:rsidR="00000000" w:rsidRPr="00F777D2" w:rsidP="00F777D2">
      <w:pPr>
        <w:pStyle w:val="ListBullet"/>
      </w:pPr>
      <w:r w:rsidRPr="00F777D2">
        <w:t xml:space="preserve">methodologies for data interpretation and analysis </w:t>
      </w:r>
    </w:p>
    <w:p w:rsidR="00000000" w:rsidRPr="00F777D2" w:rsidP="00F777D2">
      <w:pPr>
        <w:pStyle w:val="ListBullet"/>
      </w:pPr>
      <w:r w:rsidRPr="00F777D2">
        <w:t>tools and techniques that support effectiv</w:t>
      </w:r>
      <w:r w:rsidRPr="00F777D2">
        <w:t>e stakeholder management.</w:t>
      </w:r>
    </w:p>
    <w:p w:rsidR="00000000" w:rsidRPr="00F777D2" w:rsidP="00F777D2">
      <w:pPr>
        <w:pStyle w:val="AllowPageBreak"/>
      </w:pPr>
    </w:p>
    <w:p w:rsidR="00000000" w:rsidRPr="00F777D2" w:rsidP="00F777D2">
      <w:pPr>
        <w:pStyle w:val="Heading1"/>
      </w:pPr>
      <w:bookmarkStart w:id="4" w:name="O_1074700"/>
      <w:bookmarkEnd w:id="4"/>
      <w:r w:rsidRPr="00F777D2">
        <w:t>Assessment Conditions</w:t>
      </w:r>
    </w:p>
    <w:p w:rsidR="00000000" w:rsidRPr="00F777D2" w:rsidP="0051594A">
      <w:pPr>
        <w:pStyle w:val="BodyText"/>
      </w:pPr>
      <w:r w:rsidRPr="00F777D2">
        <w:t>Skills in this unit must be demonstrated in a workplace or simulated environment where the conditions are typical of those in a working environment in this industry.</w:t>
      </w:r>
    </w:p>
    <w:p w:rsidR="00000000" w:rsidRPr="00F777D2" w:rsidP="0051594A">
      <w:pPr>
        <w:pStyle w:val="BodyText"/>
      </w:pPr>
      <w:r w:rsidRPr="00F777D2">
        <w:t>This includes access to</w:t>
      </w:r>
      <w:r w:rsidRPr="00F777D2">
        <w:t>:</w:t>
      </w:r>
    </w:p>
    <w:p w:rsidR="00000000" w:rsidRPr="00F777D2" w:rsidP="00F777D2">
      <w:pPr>
        <w:pStyle w:val="ListBullet"/>
      </w:pPr>
      <w:r w:rsidRPr="00F777D2">
        <w:t>regulations, standards and codes required to design AML/CTF programs</w:t>
      </w:r>
    </w:p>
    <w:p w:rsidR="00000000" w:rsidRPr="00F777D2" w:rsidP="00F777D2">
      <w:pPr>
        <w:pStyle w:val="ListBullet"/>
      </w:pPr>
      <w:r w:rsidRPr="00F777D2">
        <w:t>organisational records, systems and policies and procedures required for the performance evidence.</w:t>
      </w:r>
    </w:p>
    <w:p w:rsidR="00000000" w:rsidRPr="00F777D2" w:rsidP="00F777D2">
      <w:pPr>
        <w:pStyle w:val="BodyText"/>
      </w:pPr>
    </w:p>
    <w:p w:rsidR="00000000" w:rsidRPr="00F777D2" w:rsidP="0051594A">
      <w:pPr>
        <w:pStyle w:val="BodyText"/>
      </w:pPr>
      <w:r w:rsidRPr="00F777D2">
        <w:t>Assessors of this unit must satisfy the requirements for assessors in applicable voc</w:t>
      </w:r>
      <w:r w:rsidRPr="00F777D2">
        <w:t>ational education and training legislation, frameworks and/or standards.</w:t>
      </w:r>
    </w:p>
    <w:p w:rsidR="00000000" w:rsidRPr="00F777D2" w:rsidP="00F777D2">
      <w:pPr>
        <w:pStyle w:val="Heading1"/>
      </w:pPr>
      <w:bookmarkStart w:id="5" w:name="O_1074698"/>
      <w:bookmarkEnd w:id="5"/>
      <w:r w:rsidRPr="00F777D2">
        <w:t>Links</w:t>
      </w:r>
    </w:p>
    <w:p w:rsidR="00000000" w:rsidRPr="00F777D2" w:rsidP="0051594A">
      <w:pPr>
        <w:pStyle w:val="BodyText"/>
      </w:pPr>
      <w:r w:rsidRPr="00F777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11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777D2" w:rsidP="00F777D2"/>
    <w:sectPr w:rsidSect="00F777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D2" w:rsidRPr="0051594A" w:rsidP="00515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4A" w:rsidP="00F77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594A" w:rsidP="00F77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594A" w:rsidP="00F77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7D2" w:rsidRPr="0051594A" w:rsidP="005159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4A" w:rsidRPr="002D2AF8" w:rsidP="00F77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FNSAML811 Design anti-money laundering and counter terrorism financing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1594A" w:rsidP="00F77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7EB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3E3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7D2"/>
  </w:style>
  <w:style w:type="character" w:customStyle="1" w:styleId="Heading1Char">
    <w:name w:val="Heading 1 Char"/>
    <w:basedOn w:val="DefaultParagraphFont"/>
    <w:link w:val="Heading1"/>
    <w:rsid w:val="00F77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7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7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7D2"/>
    <w:rPr>
      <w:b/>
      <w:spacing w:val="0"/>
    </w:rPr>
  </w:style>
  <w:style w:type="paragraph" w:customStyle="1" w:styleId="SuperHeading">
    <w:name w:val="SuperHeading"/>
    <w:basedOn w:val="Normal"/>
    <w:rsid w:val="00F77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7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7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7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7D2"/>
    <w:rPr>
      <w:i/>
    </w:rPr>
  </w:style>
  <w:style w:type="paragraph" w:styleId="Caption">
    <w:name w:val="caption"/>
    <w:basedOn w:val="BodyText"/>
    <w:next w:val="Normal"/>
    <w:qFormat/>
    <w:rsid w:val="00F77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7D2"/>
  </w:style>
  <w:style w:type="paragraph" w:styleId="TableofFigures">
    <w:name w:val="table of figures"/>
    <w:basedOn w:val="Normal"/>
    <w:next w:val="Normal"/>
    <w:semiHidden/>
    <w:rsid w:val="00F77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7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7D2"/>
    <w:rPr>
      <w:rFonts w:ascii="Wingdings" w:hAnsi="Wingdings"/>
    </w:rPr>
  </w:style>
  <w:style w:type="paragraph" w:customStyle="1" w:styleId="TableHeading">
    <w:name w:val="Table Heading"/>
    <w:basedOn w:val="HeadingBase"/>
    <w:rsid w:val="00F77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7D2"/>
    <w:rPr>
      <w:color w:val="0033CC"/>
      <w:u w:val="none"/>
    </w:rPr>
  </w:style>
  <w:style w:type="paragraph" w:customStyle="1" w:styleId="BodyTextRight">
    <w:name w:val="Body Text Right"/>
    <w:basedOn w:val="BodyText"/>
    <w:rsid w:val="00F77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7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7D2"/>
    <w:rPr>
      <w:sz w:val="32"/>
    </w:rPr>
  </w:style>
  <w:style w:type="paragraph" w:customStyle="1" w:styleId="HeadingProcedure">
    <w:name w:val="Heading Procedure"/>
    <w:basedOn w:val="HeadingBase"/>
    <w:next w:val="Normal"/>
    <w:rsid w:val="00F77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7D2"/>
    <w:pPr>
      <w:spacing w:before="60" w:after="60"/>
    </w:pPr>
  </w:style>
  <w:style w:type="paragraph" w:styleId="ListContinue">
    <w:name w:val="List Continue"/>
    <w:basedOn w:val="List"/>
    <w:rsid w:val="00F777D2"/>
    <w:pPr>
      <w:ind w:firstLine="0"/>
    </w:pPr>
  </w:style>
  <w:style w:type="paragraph" w:customStyle="1" w:styleId="ListNote">
    <w:name w:val="List Note"/>
    <w:basedOn w:val="List"/>
    <w:rsid w:val="00F77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7D2"/>
    <w:rPr>
      <w:rFonts w:ascii="Courier New" w:hAnsi="Courier New"/>
    </w:rPr>
  </w:style>
  <w:style w:type="paragraph" w:customStyle="1" w:styleId="NoteBullet">
    <w:name w:val="Note Bullet"/>
    <w:basedOn w:val="Note"/>
    <w:rsid w:val="00F77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7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7D2"/>
    <w:rPr>
      <w:b/>
      <w:smallCaps/>
    </w:rPr>
  </w:style>
  <w:style w:type="paragraph" w:customStyle="1" w:styleId="TableListNumber">
    <w:name w:val="Table List Number"/>
    <w:basedOn w:val="ListNumber"/>
    <w:rsid w:val="00F77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7D2"/>
    <w:pPr>
      <w:numPr>
        <w:numId w:val="8"/>
      </w:numPr>
    </w:pPr>
  </w:style>
  <w:style w:type="paragraph" w:customStyle="1" w:styleId="ListAlpha2">
    <w:name w:val="List Alpha 2"/>
    <w:basedOn w:val="List2"/>
    <w:rsid w:val="00F777D2"/>
    <w:pPr>
      <w:numPr>
        <w:numId w:val="7"/>
      </w:numPr>
    </w:pPr>
  </w:style>
  <w:style w:type="paragraph" w:styleId="List2">
    <w:name w:val="List 2"/>
    <w:basedOn w:val="BodyText"/>
    <w:rsid w:val="00F77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7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7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7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7D2"/>
    <w:pPr>
      <w:numPr>
        <w:numId w:val="3"/>
      </w:numPr>
    </w:pPr>
  </w:style>
  <w:style w:type="paragraph" w:styleId="ListContinue2">
    <w:name w:val="List Continue 2"/>
    <w:basedOn w:val="List2"/>
    <w:rsid w:val="00F777D2"/>
    <w:pPr>
      <w:ind w:firstLine="0"/>
    </w:pPr>
  </w:style>
  <w:style w:type="paragraph" w:styleId="ListContinue3">
    <w:name w:val="List Continue 3"/>
    <w:basedOn w:val="List3"/>
    <w:rsid w:val="00F777D2"/>
    <w:pPr>
      <w:ind w:left="1021" w:firstLine="0"/>
    </w:pPr>
  </w:style>
  <w:style w:type="paragraph" w:styleId="ListContinue4">
    <w:name w:val="List Continue 4"/>
    <w:basedOn w:val="List4"/>
    <w:rsid w:val="00F777D2"/>
    <w:pPr>
      <w:ind w:firstLine="0"/>
    </w:pPr>
  </w:style>
  <w:style w:type="paragraph" w:styleId="ListContinue5">
    <w:name w:val="List Continue 5"/>
    <w:basedOn w:val="List5"/>
    <w:rsid w:val="00F777D2"/>
    <w:pPr>
      <w:ind w:firstLine="0"/>
    </w:pPr>
  </w:style>
  <w:style w:type="paragraph" w:styleId="ListNumber3">
    <w:name w:val="List Number 3"/>
    <w:basedOn w:val="List3"/>
    <w:rsid w:val="00F777D2"/>
    <w:pPr>
      <w:numPr>
        <w:numId w:val="4"/>
      </w:numPr>
    </w:pPr>
  </w:style>
  <w:style w:type="paragraph" w:styleId="ListNumber4">
    <w:name w:val="List Number 4"/>
    <w:basedOn w:val="List4"/>
    <w:rsid w:val="00F777D2"/>
    <w:pPr>
      <w:numPr>
        <w:numId w:val="5"/>
      </w:numPr>
    </w:pPr>
  </w:style>
  <w:style w:type="paragraph" w:styleId="ListNumber5">
    <w:name w:val="List Number 5"/>
    <w:basedOn w:val="List5"/>
    <w:rsid w:val="00F777D2"/>
    <w:pPr>
      <w:numPr>
        <w:numId w:val="6"/>
      </w:numPr>
    </w:pPr>
  </w:style>
  <w:style w:type="paragraph" w:styleId="BlockText">
    <w:name w:val="Block Text"/>
    <w:basedOn w:val="Normal"/>
    <w:rsid w:val="00F77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7D2"/>
    <w:rPr>
      <w:sz w:val="16"/>
      <w:vertAlign w:val="superscript"/>
    </w:rPr>
  </w:style>
  <w:style w:type="character" w:customStyle="1" w:styleId="Symbols">
    <w:name w:val="Symbols"/>
    <w:basedOn w:val="DefaultParagraphFont"/>
    <w:rsid w:val="00F777D2"/>
    <w:rPr>
      <w:rFonts w:ascii="Symbol" w:hAnsi="Symbol"/>
    </w:rPr>
  </w:style>
  <w:style w:type="character" w:customStyle="1" w:styleId="MenuOptions">
    <w:name w:val="Menu Options"/>
    <w:basedOn w:val="DefaultParagraphFont"/>
    <w:rsid w:val="00F77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7D2"/>
    <w:rPr>
      <w:b/>
    </w:rPr>
  </w:style>
  <w:style w:type="character" w:customStyle="1" w:styleId="Underlined">
    <w:name w:val="Underlined"/>
    <w:basedOn w:val="DefaultParagraphFont"/>
    <w:rsid w:val="00F777D2"/>
    <w:rPr>
      <w:u w:val="single"/>
    </w:rPr>
  </w:style>
  <w:style w:type="paragraph" w:customStyle="1" w:styleId="TableBodyTextRight">
    <w:name w:val="Table Body Text Right"/>
    <w:basedOn w:val="TableBodyText"/>
    <w:rsid w:val="00F77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7D2"/>
    <w:rPr>
      <w:sz w:val="18"/>
    </w:rPr>
  </w:style>
  <w:style w:type="paragraph" w:customStyle="1" w:styleId="BodySmallRight">
    <w:name w:val="Body Small Right"/>
    <w:basedOn w:val="BodyTextRight"/>
    <w:rsid w:val="00F777D2"/>
    <w:rPr>
      <w:sz w:val="18"/>
      <w:szCs w:val="18"/>
    </w:rPr>
  </w:style>
  <w:style w:type="paragraph" w:customStyle="1" w:styleId="MarginEdition">
    <w:name w:val="Margin Edition"/>
    <w:basedOn w:val="MarginNote"/>
    <w:rsid w:val="00F77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7D2"/>
    <w:rPr>
      <w:sz w:val="2"/>
      <w:szCs w:val="2"/>
    </w:rPr>
  </w:style>
  <w:style w:type="character" w:customStyle="1" w:styleId="Small">
    <w:name w:val="Small"/>
    <w:basedOn w:val="DefaultParagraphFont"/>
    <w:rsid w:val="00F777D2"/>
    <w:rPr>
      <w:sz w:val="16"/>
    </w:rPr>
  </w:style>
  <w:style w:type="paragraph" w:customStyle="1" w:styleId="WideTable">
    <w:name w:val="Wide Table"/>
    <w:basedOn w:val="Normal"/>
    <w:rsid w:val="00F77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7D2"/>
  </w:style>
  <w:style w:type="paragraph" w:styleId="Quote">
    <w:name w:val="Quote"/>
    <w:basedOn w:val="Heading1"/>
    <w:link w:val="QuoteChar"/>
    <w:qFormat/>
    <w:rsid w:val="00F77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7D2"/>
    <w:pPr>
      <w:pageBreakBefore/>
    </w:pPr>
  </w:style>
  <w:style w:type="paragraph" w:customStyle="1" w:styleId="Border">
    <w:name w:val="Border"/>
    <w:basedOn w:val="Normal"/>
    <w:qFormat/>
    <w:rsid w:val="00F77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7D2"/>
    <w:rPr>
      <w:u w:val="single"/>
    </w:rPr>
  </w:style>
  <w:style w:type="character" w:customStyle="1" w:styleId="BoldandItalics">
    <w:name w:val="Bold and Italics"/>
    <w:qFormat/>
    <w:rsid w:val="00F777D2"/>
    <w:rPr>
      <w:b/>
      <w:i/>
      <w:u w:val="none"/>
    </w:rPr>
  </w:style>
  <w:style w:type="paragraph" w:styleId="BalloonText">
    <w:name w:val="Balloon Text"/>
    <w:basedOn w:val="Normal"/>
    <w:link w:val="BalloonTextChar"/>
    <w:rsid w:val="00F77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7D2"/>
    <w:pPr>
      <w:spacing w:before="0" w:after="0"/>
    </w:pPr>
  </w:style>
  <w:style w:type="paragraph" w:customStyle="1" w:styleId="BodyTextBold">
    <w:name w:val="Body Text Bold"/>
    <w:basedOn w:val="BodyText"/>
    <w:qFormat/>
    <w:rsid w:val="00F777D2"/>
    <w:rPr>
      <w:b/>
    </w:rPr>
  </w:style>
  <w:style w:type="character" w:styleId="Hyperlink">
    <w:name w:val="Hyperlink"/>
    <w:basedOn w:val="DefaultParagraphFont"/>
    <w:uiPriority w:val="99"/>
    <w:unhideWhenUsed/>
    <w:rsid w:val="005159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2379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FNSAML811 Design anti-money laundering and counter terrorism financing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