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5222E3" w:rsidP="005222E3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FNSAML802 Design and assess controls to monitor money laundering and terrorism financing risk</w:t>
      </w:r>
      <w:r>
        <w:fldChar w:fldCharType="end"/>
      </w:r>
    </w:p>
    <w:p w:rsidR="005222E3" w:rsidP="005222E3">
      <w:pPr>
        <w:pStyle w:val="Version"/>
        <w:sectPr w:rsidSect="003205BC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3205BC" w:rsidP="003205BC">
      <w:pPr>
        <w:pStyle w:val="SuperHeading"/>
      </w:pPr>
      <w:r w:rsidRPr="003205BC">
        <w:t>Assessment Requirements for FNSAML802 Design and assess controls to monitor money laundering and terrorism financing risk</w:t>
      </w:r>
    </w:p>
    <w:p w:rsidR="00000000" w:rsidRPr="003205BC" w:rsidP="003205BC">
      <w:pPr>
        <w:pStyle w:val="Heading1"/>
      </w:pPr>
      <w:bookmarkStart w:id="1" w:name="O_748348"/>
      <w:bookmarkEnd w:id="1"/>
      <w:r w:rsidRPr="003205BC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3205B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205BC" w:rsidP="003205BC">
            <w:pPr>
              <w:pStyle w:val="BodyText"/>
            </w:pPr>
            <w:r w:rsidRPr="003205BC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05BC">
            <w:pPr>
              <w:pStyle w:val="BodyText"/>
              <w:rPr>
                <w:lang w:val="en-NZ"/>
              </w:rPr>
            </w:pPr>
            <w:r w:rsidRPr="003205BC">
              <w:rPr>
                <w:rStyle w:val="SpecialBold"/>
              </w:rPr>
              <w:t>Comments</w:t>
            </w:r>
          </w:p>
        </w:tc>
      </w:tr>
      <w:tr w:rsidTr="003205B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05BC">
            <w:pPr>
              <w:pStyle w:val="BodyText"/>
              <w:rPr>
                <w:lang w:val="en-NZ"/>
              </w:rPr>
            </w:pPr>
            <w:r w:rsidRPr="003205BC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205BC" w:rsidP="003205BC">
            <w:pPr>
              <w:pStyle w:val="BodyText"/>
            </w:pPr>
            <w:r w:rsidRPr="003205BC">
              <w:t>This version first released with FNS Financial Services Training Package Version 2.0.</w:t>
            </w:r>
          </w:p>
        </w:tc>
      </w:tr>
    </w:tbl>
    <w:p w:rsidR="005222E3" w:rsidP="003205BC">
      <w:pPr>
        <w:pStyle w:val="BodyText"/>
      </w:pPr>
    </w:p>
    <w:p w:rsidR="005222E3" w:rsidP="003205BC">
      <w:pPr>
        <w:pStyle w:val="BodyText"/>
      </w:pPr>
    </w:p>
    <w:p w:rsidR="00000000" w:rsidRPr="003205BC" w:rsidP="003205BC">
      <w:pPr>
        <w:pStyle w:val="Heading1"/>
      </w:pPr>
      <w:bookmarkStart w:id="2" w:name="O_748349"/>
      <w:bookmarkEnd w:id="2"/>
      <w:r w:rsidRPr="003205BC">
        <w:t>Performance Evidence</w:t>
      </w:r>
    </w:p>
    <w:p w:rsidR="00000000" w:rsidRPr="003205BC" w:rsidP="003205BC">
      <w:pPr>
        <w:pStyle w:val="BodyText"/>
      </w:pPr>
      <w:r w:rsidRPr="003205BC">
        <w:t>Evidence of the ability to:</w:t>
      </w:r>
    </w:p>
    <w:p w:rsidR="00000000" w:rsidRPr="003205BC" w:rsidP="003205BC">
      <w:pPr>
        <w:pStyle w:val="ListBullet"/>
      </w:pPr>
      <w:r w:rsidRPr="003205BC">
        <w:t>document risk assessment criteria for an organisation</w:t>
      </w:r>
    </w:p>
    <w:p w:rsidR="00000000" w:rsidRPr="003205BC" w:rsidP="003205BC">
      <w:pPr>
        <w:pStyle w:val="ListBullet"/>
      </w:pPr>
      <w:r w:rsidRPr="003205BC">
        <w:t xml:space="preserve">design and implement risk assessment controls </w:t>
      </w:r>
      <w:r w:rsidRPr="003205BC">
        <w:t>for an organisation</w:t>
      </w:r>
    </w:p>
    <w:p w:rsidR="00000000" w:rsidRPr="003205BC" w:rsidP="003205BC">
      <w:pPr>
        <w:pStyle w:val="ListBullet"/>
      </w:pPr>
      <w:r w:rsidRPr="003205BC">
        <w:t>monitor and report on the effectiveness of controls implemented.</w:t>
      </w:r>
    </w:p>
    <w:p w:rsidR="00000000" w:rsidRPr="003205BC" w:rsidP="003205BC">
      <w:pPr>
        <w:pStyle w:val="BodyText"/>
      </w:pPr>
    </w:p>
    <w:p w:rsidR="00000000" w:rsidRPr="003205BC" w:rsidP="003205BC">
      <w:pPr>
        <w:pStyle w:val="BodyText"/>
      </w:pPr>
      <w:r w:rsidRPr="003205BC">
        <w:t>Note: If a specific volume or frequency is not stated, then evidence must be provided at least once.</w:t>
      </w:r>
    </w:p>
    <w:p w:rsidR="00000000" w:rsidRPr="003205BC" w:rsidP="003205BC">
      <w:pPr>
        <w:pStyle w:val="AllowPageBreak"/>
      </w:pPr>
    </w:p>
    <w:p w:rsidR="00000000" w:rsidRPr="003205BC" w:rsidP="003205BC">
      <w:pPr>
        <w:pStyle w:val="Heading1"/>
      </w:pPr>
      <w:bookmarkStart w:id="3" w:name="O_748350"/>
      <w:bookmarkEnd w:id="3"/>
      <w:r w:rsidRPr="003205BC">
        <w:t>Knowledge Evidence</w:t>
      </w:r>
    </w:p>
    <w:p w:rsidR="00000000" w:rsidRPr="003205BC" w:rsidP="003205BC">
      <w:pPr>
        <w:pStyle w:val="BodyText"/>
      </w:pPr>
      <w:r w:rsidRPr="003205BC">
        <w:t>To complete the unit requirements safely and effectively, the individual must:</w:t>
      </w:r>
    </w:p>
    <w:p w:rsidR="00000000" w:rsidRPr="003205BC" w:rsidP="003205BC">
      <w:pPr>
        <w:pStyle w:val="ListBullet"/>
      </w:pPr>
      <w:r w:rsidRPr="003205BC">
        <w:t>explain a range of risk criteria relevant to the evaluation of anti-money laundering and counter terrorism financing (AML/CTF) processes</w:t>
      </w:r>
    </w:p>
    <w:p w:rsidR="00000000" w:rsidRPr="003205BC" w:rsidP="003205BC">
      <w:pPr>
        <w:pStyle w:val="ListBullet"/>
      </w:pPr>
      <w:r w:rsidRPr="003205BC">
        <w:t xml:space="preserve">explain money laundering and terrorism </w:t>
      </w:r>
      <w:r w:rsidRPr="003205BC">
        <w:t xml:space="preserve">financing (ML/TF) risk assessment process, including identification, assessment, evaluation, mitigation and monitoring </w:t>
      </w:r>
    </w:p>
    <w:p w:rsidR="00000000" w:rsidRPr="003205BC" w:rsidP="003205BC">
      <w:pPr>
        <w:pStyle w:val="ListBullet"/>
      </w:pPr>
      <w:r w:rsidRPr="003205BC">
        <w:t>compare and contrast ML/TF risk management tools used in organisations</w:t>
      </w:r>
    </w:p>
    <w:p w:rsidR="00000000" w:rsidRPr="003205BC" w:rsidP="003205BC">
      <w:pPr>
        <w:pStyle w:val="ListBullet"/>
      </w:pPr>
      <w:r w:rsidRPr="003205BC">
        <w:t xml:space="preserve">discuss organisational processes and procedures for implementing </w:t>
      </w:r>
      <w:r w:rsidRPr="003205BC">
        <w:t>ML/TF risk mitigation controls</w:t>
      </w:r>
    </w:p>
    <w:p w:rsidR="005222E3" w:rsidP="003205BC">
      <w:pPr>
        <w:pStyle w:val="ListBullet"/>
      </w:pPr>
      <w:r w:rsidRPr="003205BC">
        <w:t>outline the key features and requirements of the legislative, regulatory and industry requirements for AML/CTF.</w:t>
      </w:r>
    </w:p>
    <w:p w:rsidR="005222E3" w:rsidP="003205BC">
      <w:pPr>
        <w:pStyle w:val="ListBullet"/>
      </w:pPr>
    </w:p>
    <w:p w:rsidR="00000000" w:rsidRPr="003205BC" w:rsidP="003205BC">
      <w:pPr>
        <w:pStyle w:val="Heading1"/>
      </w:pPr>
      <w:bookmarkStart w:id="4" w:name="O_748351"/>
      <w:bookmarkEnd w:id="4"/>
      <w:r w:rsidRPr="003205BC">
        <w:t>Assessment Conditions</w:t>
      </w:r>
    </w:p>
    <w:p w:rsidR="00000000" w:rsidRPr="003205BC" w:rsidP="003205BC">
      <w:pPr>
        <w:pStyle w:val="BodyText"/>
      </w:pPr>
      <w:r w:rsidRPr="003205BC">
        <w:t>Assessment must be conducted in a safe environment where evidence gathere</w:t>
      </w:r>
      <w:r w:rsidRPr="003205BC">
        <w:t>d demonstrates consistent performance of typical activities experienced in the AML/CTF field and include access to:</w:t>
      </w:r>
    </w:p>
    <w:p w:rsidR="00000000" w:rsidRPr="003205BC" w:rsidP="003205BC">
      <w:pPr>
        <w:pStyle w:val="ListBullet"/>
      </w:pPr>
      <w:r w:rsidRPr="003205BC">
        <w:t>relevant legislation, regulations, standards and codes</w:t>
      </w:r>
    </w:p>
    <w:p w:rsidR="00000000" w:rsidRPr="003205BC" w:rsidP="003205BC">
      <w:pPr>
        <w:pStyle w:val="ListBullet"/>
      </w:pPr>
      <w:r w:rsidRPr="003205BC">
        <w:t>relevant organisational records, policies and procedures</w:t>
      </w:r>
    </w:p>
    <w:p w:rsidR="00000000" w:rsidRPr="003205BC" w:rsidP="003205BC">
      <w:pPr>
        <w:pStyle w:val="ListBullet"/>
      </w:pPr>
      <w:r w:rsidRPr="003205BC">
        <w:t>organisational reporting sy</w:t>
      </w:r>
      <w:r w:rsidRPr="003205BC">
        <w:t>stem for suspicious transactions or case study scenarios.</w:t>
      </w:r>
    </w:p>
    <w:p w:rsidR="00000000" w:rsidRPr="003205BC" w:rsidP="003205BC">
      <w:pPr>
        <w:pStyle w:val="BodyText"/>
      </w:pPr>
    </w:p>
    <w:p w:rsidR="00000000" w:rsidRPr="003205BC" w:rsidP="003205BC">
      <w:pPr>
        <w:pStyle w:val="BodyText"/>
      </w:pPr>
      <w:r w:rsidRPr="003205BC">
        <w:t>Assessors of this unit must satisfy the requirements for assessors in applicable vocational education and training legislation, frameworks and/or standards.</w:t>
      </w:r>
    </w:p>
    <w:p w:rsidR="00000000" w:rsidRPr="003205BC" w:rsidP="003205BC">
      <w:pPr>
        <w:pStyle w:val="AllowPageBreak"/>
      </w:pPr>
    </w:p>
    <w:p w:rsidR="00000000" w:rsidRPr="003205BC" w:rsidP="003205BC">
      <w:pPr>
        <w:pStyle w:val="Heading1"/>
      </w:pPr>
      <w:bookmarkStart w:id="5" w:name="O_748354"/>
      <w:bookmarkEnd w:id="5"/>
      <w:r w:rsidRPr="003205BC">
        <w:t>Links</w:t>
      </w:r>
    </w:p>
    <w:p w:rsidR="00000000" w:rsidRPr="003205BC" w:rsidP="003205BC">
      <w:pPr>
        <w:pStyle w:val="BodyText"/>
      </w:pPr>
      <w:r w:rsidRPr="003205BC">
        <w:t>Companion Volume implementation guides are found in VETNet - https://vetnet.education.gov.au/Pages/TrainingDocs.aspx?q=c7200cc8-0566-4f04-b76f-e89fd6f102fe</w:t>
      </w:r>
    </w:p>
    <w:p w:rsidR="00000000" w:rsidRPr="003205BC" w:rsidP="003205BC"/>
    <w:sectPr w:rsidSect="003205BC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205BC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205BC" w:rsidRPr="005222E3" w:rsidP="005222E3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205BC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222E3" w:rsidP="003205B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5222E3" w:rsidP="003205B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2018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5222E3" w:rsidP="003205BC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205BC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222E3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3205BC" w:rsidRPr="005222E3" w:rsidP="005222E3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205BC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222E3" w:rsidRPr="002D2AF8" w:rsidP="003205B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FNSAML802 Design and assess controls to monitor money laundering and terrorism financing risk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6 September 2018</w:t>
    </w:r>
    <w:r>
      <w:fldChar w:fldCharType="end"/>
    </w:r>
  </w:p>
  <w:p w:rsidR="005222E3" w:rsidP="003205BC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CDA6DBC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F6060126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12"/>
  </w:num>
  <w:num w:numId="11">
    <w:abstractNumId w:val="8"/>
  </w:num>
  <w:num w:numId="12">
    <w:abstractNumId w:val="11"/>
  </w:num>
  <w:num w:numId="13">
    <w:abstractNumId w:val="9"/>
  </w:num>
  <w:num w:numId="14">
    <w:abstractNumId w:val="5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205BC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3205BC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3205BC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3205BC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3205BC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3205BC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3205BC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3205BC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3205BC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3205BC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3205B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3205BC"/>
  </w:style>
  <w:style w:type="character" w:customStyle="1" w:styleId="Heading1Char">
    <w:name w:val="Heading 1 Char"/>
    <w:basedOn w:val="DefaultParagraphFont"/>
    <w:link w:val="Heading1"/>
    <w:rsid w:val="003205BC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3205BC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3205BC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3205BC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3205BC"/>
    <w:rPr>
      <w:b/>
      <w:spacing w:val="0"/>
    </w:rPr>
  </w:style>
  <w:style w:type="paragraph" w:customStyle="1" w:styleId="SuperHeading">
    <w:name w:val="SuperHeading"/>
    <w:basedOn w:val="Normal"/>
    <w:rsid w:val="003205BC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3205BC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3205BC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3205BC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3205BC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3205B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3205B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3205B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3205B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3205BC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3205BC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3205BC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3205BC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3205BC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3205BC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3205BC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3205BC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3205BC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3205BC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3205BC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3205BC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3205BC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3205BC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3205BC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3205BC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3205BC"/>
    <w:pPr>
      <w:numPr>
        <w:numId w:val="13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3205BC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3205BC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3205BC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3205BC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3205BC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3205BC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3205BC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3205BC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3205BC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3205BC"/>
    <w:rPr>
      <w:i/>
    </w:rPr>
  </w:style>
  <w:style w:type="paragraph" w:styleId="Caption">
    <w:name w:val="caption"/>
    <w:basedOn w:val="BodyText"/>
    <w:next w:val="Normal"/>
    <w:qFormat/>
    <w:rsid w:val="003205BC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3205BC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3205BC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3205BC"/>
  </w:style>
  <w:style w:type="paragraph" w:styleId="TableofFigures">
    <w:name w:val="table of figures"/>
    <w:basedOn w:val="Normal"/>
    <w:next w:val="Normal"/>
    <w:semiHidden/>
    <w:rsid w:val="003205BC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3205BC"/>
    <w:pPr>
      <w:numPr>
        <w:numId w:val="10"/>
      </w:numPr>
    </w:pPr>
  </w:style>
  <w:style w:type="character" w:customStyle="1" w:styleId="WingdingSymbols">
    <w:name w:val="Wingding Symbols"/>
    <w:rsid w:val="003205BC"/>
    <w:rPr>
      <w:rFonts w:ascii="Wingdings" w:hAnsi="Wingdings"/>
    </w:rPr>
  </w:style>
  <w:style w:type="paragraph" w:customStyle="1" w:styleId="TableHeading">
    <w:name w:val="Table Heading"/>
    <w:basedOn w:val="HeadingBase"/>
    <w:rsid w:val="003205BC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3205BC"/>
    <w:rPr>
      <w:color w:val="0033CC"/>
      <w:u w:val="none"/>
    </w:rPr>
  </w:style>
  <w:style w:type="paragraph" w:customStyle="1" w:styleId="BodyTextRight">
    <w:name w:val="Body Text Right"/>
    <w:basedOn w:val="BodyText"/>
    <w:rsid w:val="003205BC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3205BC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3205BC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3205BC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3205BC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3205BC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3205BC"/>
    <w:rPr>
      <w:sz w:val="32"/>
    </w:rPr>
  </w:style>
  <w:style w:type="paragraph" w:customStyle="1" w:styleId="HeadingProcedure">
    <w:name w:val="Heading Procedure"/>
    <w:basedOn w:val="HeadingBase"/>
    <w:next w:val="Normal"/>
    <w:rsid w:val="003205BC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3205BC"/>
    <w:pPr>
      <w:spacing w:before="60" w:after="60"/>
    </w:pPr>
  </w:style>
  <w:style w:type="paragraph" w:styleId="ListContinue">
    <w:name w:val="List Continue"/>
    <w:basedOn w:val="List"/>
    <w:rsid w:val="003205BC"/>
    <w:pPr>
      <w:ind w:firstLine="0"/>
    </w:pPr>
  </w:style>
  <w:style w:type="paragraph" w:customStyle="1" w:styleId="ListNote">
    <w:name w:val="List Note"/>
    <w:basedOn w:val="List"/>
    <w:rsid w:val="003205BC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3205BC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3205BC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3205BC"/>
    <w:rPr>
      <w:rFonts w:ascii="Courier New" w:hAnsi="Courier New"/>
    </w:rPr>
  </w:style>
  <w:style w:type="paragraph" w:customStyle="1" w:styleId="NoteBullet">
    <w:name w:val="Note Bullet"/>
    <w:basedOn w:val="Note"/>
    <w:rsid w:val="003205BC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3205BC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3205BC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3205BC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3205BC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3205BC"/>
    <w:rPr>
      <w:sz w:val="20"/>
    </w:rPr>
  </w:style>
  <w:style w:type="character" w:customStyle="1" w:styleId="PlainTextChar">
    <w:name w:val="Plain Text Char"/>
    <w:basedOn w:val="DefaultParagraphFont"/>
    <w:link w:val="PlainText"/>
    <w:rsid w:val="003205BC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3205BC"/>
    <w:rPr>
      <w:b/>
      <w:smallCaps/>
    </w:rPr>
  </w:style>
  <w:style w:type="paragraph" w:customStyle="1" w:styleId="TableListNumber">
    <w:name w:val="Table List Number"/>
    <w:basedOn w:val="ListNumber"/>
    <w:rsid w:val="003205BC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3205BC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3205BC"/>
    <w:pPr>
      <w:numPr>
        <w:numId w:val="8"/>
      </w:numPr>
    </w:pPr>
  </w:style>
  <w:style w:type="paragraph" w:customStyle="1" w:styleId="ListAlpha2">
    <w:name w:val="List Alpha 2"/>
    <w:basedOn w:val="List2"/>
    <w:rsid w:val="003205BC"/>
    <w:pPr>
      <w:numPr>
        <w:numId w:val="7"/>
      </w:numPr>
    </w:pPr>
  </w:style>
  <w:style w:type="paragraph" w:styleId="List2">
    <w:name w:val="List 2"/>
    <w:basedOn w:val="BodyText"/>
    <w:rsid w:val="003205BC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3205BC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3205BC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3205BC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3205BC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3205BC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3205BC"/>
    <w:pPr>
      <w:numPr>
        <w:numId w:val="3"/>
      </w:numPr>
    </w:pPr>
  </w:style>
  <w:style w:type="paragraph" w:styleId="ListContinue2">
    <w:name w:val="List Continue 2"/>
    <w:basedOn w:val="List2"/>
    <w:rsid w:val="003205BC"/>
    <w:pPr>
      <w:ind w:firstLine="0"/>
    </w:pPr>
  </w:style>
  <w:style w:type="paragraph" w:styleId="ListContinue3">
    <w:name w:val="List Continue 3"/>
    <w:basedOn w:val="List3"/>
    <w:rsid w:val="003205BC"/>
    <w:pPr>
      <w:ind w:left="1021" w:firstLine="0"/>
    </w:pPr>
  </w:style>
  <w:style w:type="paragraph" w:styleId="ListContinue4">
    <w:name w:val="List Continue 4"/>
    <w:basedOn w:val="List4"/>
    <w:rsid w:val="003205BC"/>
    <w:pPr>
      <w:ind w:firstLine="0"/>
    </w:pPr>
  </w:style>
  <w:style w:type="paragraph" w:styleId="ListContinue5">
    <w:name w:val="List Continue 5"/>
    <w:basedOn w:val="List5"/>
    <w:rsid w:val="003205BC"/>
    <w:pPr>
      <w:ind w:firstLine="0"/>
    </w:pPr>
  </w:style>
  <w:style w:type="paragraph" w:styleId="ListNumber3">
    <w:name w:val="List Number 3"/>
    <w:basedOn w:val="List3"/>
    <w:rsid w:val="003205BC"/>
    <w:pPr>
      <w:numPr>
        <w:numId w:val="4"/>
      </w:numPr>
    </w:pPr>
  </w:style>
  <w:style w:type="paragraph" w:styleId="ListNumber4">
    <w:name w:val="List Number 4"/>
    <w:basedOn w:val="List4"/>
    <w:rsid w:val="003205BC"/>
    <w:pPr>
      <w:numPr>
        <w:numId w:val="5"/>
      </w:numPr>
    </w:pPr>
  </w:style>
  <w:style w:type="paragraph" w:styleId="ListNumber5">
    <w:name w:val="List Number 5"/>
    <w:basedOn w:val="List5"/>
    <w:rsid w:val="003205BC"/>
    <w:pPr>
      <w:numPr>
        <w:numId w:val="6"/>
      </w:numPr>
    </w:pPr>
  </w:style>
  <w:style w:type="paragraph" w:styleId="BlockText">
    <w:name w:val="Block Text"/>
    <w:basedOn w:val="Normal"/>
    <w:rsid w:val="003205BC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3205BC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3205BC"/>
    <w:rPr>
      <w:sz w:val="16"/>
      <w:vertAlign w:val="superscript"/>
    </w:rPr>
  </w:style>
  <w:style w:type="character" w:customStyle="1" w:styleId="Symbols">
    <w:name w:val="Symbols"/>
    <w:basedOn w:val="DefaultParagraphFont"/>
    <w:rsid w:val="003205BC"/>
    <w:rPr>
      <w:rFonts w:ascii="Symbol" w:hAnsi="Symbol"/>
    </w:rPr>
  </w:style>
  <w:style w:type="character" w:customStyle="1" w:styleId="MenuOptions">
    <w:name w:val="Menu Options"/>
    <w:basedOn w:val="DefaultParagraphFont"/>
    <w:rsid w:val="003205BC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3205BC"/>
    <w:rPr>
      <w:b/>
    </w:rPr>
  </w:style>
  <w:style w:type="character" w:customStyle="1" w:styleId="Underlined">
    <w:name w:val="Underlined"/>
    <w:basedOn w:val="DefaultParagraphFont"/>
    <w:rsid w:val="003205BC"/>
    <w:rPr>
      <w:u w:val="single"/>
    </w:rPr>
  </w:style>
  <w:style w:type="paragraph" w:customStyle="1" w:styleId="TableBodyTextRight">
    <w:name w:val="Table Body Text Right"/>
    <w:basedOn w:val="TableBodyText"/>
    <w:rsid w:val="003205BC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3205BC"/>
    <w:rPr>
      <w:sz w:val="18"/>
    </w:rPr>
  </w:style>
  <w:style w:type="paragraph" w:customStyle="1" w:styleId="BodySmallRight">
    <w:name w:val="Body Small Right"/>
    <w:basedOn w:val="BodyTextRight"/>
    <w:rsid w:val="003205BC"/>
    <w:rPr>
      <w:sz w:val="18"/>
      <w:szCs w:val="18"/>
    </w:rPr>
  </w:style>
  <w:style w:type="paragraph" w:customStyle="1" w:styleId="MarginEdition">
    <w:name w:val="Margin Edition"/>
    <w:basedOn w:val="MarginNote"/>
    <w:rsid w:val="003205BC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3205BC"/>
    <w:rPr>
      <w:sz w:val="2"/>
      <w:szCs w:val="2"/>
    </w:rPr>
  </w:style>
  <w:style w:type="character" w:customStyle="1" w:styleId="Small">
    <w:name w:val="Small"/>
    <w:basedOn w:val="DefaultParagraphFont"/>
    <w:rsid w:val="003205BC"/>
    <w:rPr>
      <w:sz w:val="16"/>
    </w:rPr>
  </w:style>
  <w:style w:type="paragraph" w:customStyle="1" w:styleId="WideTable">
    <w:name w:val="Wide Table"/>
    <w:basedOn w:val="Normal"/>
    <w:rsid w:val="003205BC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3205BC"/>
  </w:style>
  <w:style w:type="paragraph" w:styleId="Quote">
    <w:name w:val="Quote"/>
    <w:basedOn w:val="Heading1"/>
    <w:link w:val="QuoteChar"/>
    <w:qFormat/>
    <w:rsid w:val="003205BC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3205BC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3205BC"/>
    <w:pPr>
      <w:pageBreakBefore/>
    </w:pPr>
  </w:style>
  <w:style w:type="paragraph" w:customStyle="1" w:styleId="Border">
    <w:name w:val="Border"/>
    <w:basedOn w:val="Normal"/>
    <w:qFormat/>
    <w:rsid w:val="003205BC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3205BC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205B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205BC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3205BC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3205BC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3205BC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3205BC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3205BC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3205BC"/>
    <w:rPr>
      <w:u w:val="single"/>
    </w:rPr>
  </w:style>
  <w:style w:type="character" w:customStyle="1" w:styleId="BoldandItalics">
    <w:name w:val="Bold and Italics"/>
    <w:qFormat/>
    <w:rsid w:val="003205BC"/>
    <w:rPr>
      <w:b/>
      <w:i/>
      <w:u w:val="none"/>
    </w:rPr>
  </w:style>
  <w:style w:type="paragraph" w:styleId="BalloonText">
    <w:name w:val="Balloon Text"/>
    <w:basedOn w:val="Normal"/>
    <w:link w:val="BalloonTextChar"/>
    <w:rsid w:val="003205B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205BC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3205BC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3205BC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3205BC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3205BC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3205BC"/>
    <w:pPr>
      <w:spacing w:before="0" w:after="0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268</Words>
  <Characters>1867</Characters>
  <Application>Microsoft Office Word</Application>
  <DocSecurity>0</DocSecurity>
  <Lines>53</Lines>
  <Paragraphs>29</Paragraphs>
  <ScaleCrop>false</ScaleCrop>
  <Company>Author-it Software Corporation Ltd.</Company>
  <LinksUpToDate>false</LinksUpToDate>
  <CharactersWithSpaces>2118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FNSAML802 Design and assess controls to monitor money laundering and terrorism financing risk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2018-09-06T04:28:00Z</dcterms:created>
  <dcterms:modified xsi:type="dcterms:W3CDTF">2018-09-06T04:28:00Z</dcterms:modified>
</cp:coreProperties>
</file>