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B04" w:rsidP="00CB4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FNSACC604 Monitor corporate governance activities</w:t>
      </w:r>
      <w:r>
        <w:fldChar w:fldCharType="end"/>
      </w:r>
    </w:p>
    <w:p w:rsidR="00CB4B04" w:rsidP="00CB4B04">
      <w:pPr>
        <w:pStyle w:val="Version"/>
        <w:sectPr w:rsidSect="004A6F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F50" w:rsidP="004A6F50">
      <w:pPr>
        <w:pStyle w:val="SuperHeading"/>
      </w:pPr>
      <w:r w:rsidRPr="004A6F50">
        <w:t>FNSACC604 Monitor corporate governance activities</w:t>
      </w:r>
    </w:p>
    <w:p w:rsidR="00000000" w:rsidRPr="004A6F50" w:rsidP="004A6F50">
      <w:pPr>
        <w:pStyle w:val="Heading1"/>
      </w:pPr>
      <w:bookmarkStart w:id="1" w:name="O_671213"/>
      <w:bookmarkEnd w:id="1"/>
      <w:r w:rsidRPr="004A6F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rPr>
                <w:rStyle w:val="SpecialBold"/>
              </w:rPr>
              <w:t>Comments</w:t>
            </w:r>
          </w:p>
        </w:tc>
      </w:tr>
      <w:tr w:rsidTr="004A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t>This version first released with FNS Financial Services Training Package Version 1.0.</w:t>
            </w:r>
          </w:p>
        </w:tc>
      </w:tr>
    </w:tbl>
    <w:p w:rsidR="00000000" w:rsidRPr="004A6F50" w:rsidP="004A6F50">
      <w:pPr>
        <w:pStyle w:val="BodyText"/>
      </w:pPr>
    </w:p>
    <w:p w:rsidR="00000000" w:rsidRPr="004A6F50" w:rsidP="004A6F50">
      <w:pPr>
        <w:pStyle w:val="AllowPageBreak"/>
      </w:pPr>
    </w:p>
    <w:p w:rsidR="00000000" w:rsidRPr="004A6F50" w:rsidP="004A6F50">
      <w:pPr>
        <w:pStyle w:val="Heading1"/>
      </w:pPr>
      <w:bookmarkStart w:id="2" w:name="O_671214"/>
      <w:bookmarkEnd w:id="2"/>
      <w:r w:rsidRPr="004A6F50">
        <w:t>Application</w:t>
      </w:r>
    </w:p>
    <w:p w:rsidR="00000000" w:rsidRPr="004A6F50" w:rsidP="00CB4B04">
      <w:pPr>
        <w:pStyle w:val="BodyText"/>
      </w:pPr>
      <w:r w:rsidRPr="004A6F50">
        <w:t>This unit describes the skills and knowledge required to research corporate govern</w:t>
      </w:r>
      <w:r w:rsidRPr="004A6F50">
        <w:t>ance reporting trends, examine corporate governance standards and practices, and review compliance to develop and implement processes and procedures for meeting corporate governance obligations.</w:t>
      </w:r>
    </w:p>
    <w:p w:rsidR="00000000" w:rsidRPr="004A6F50" w:rsidP="00CB4B04">
      <w:pPr>
        <w:pStyle w:val="BodyText"/>
      </w:pPr>
      <w:r w:rsidRPr="004A6F50">
        <w:t>It applies to individuals who use and maintain current and s</w:t>
      </w:r>
      <w:r w:rsidRPr="004A6F50">
        <w:t>pecialised knowledge and analytical skills to provide advice on organisational processes to meet compliance and management requirements.</w:t>
      </w:r>
    </w:p>
    <w:p w:rsidR="00000000" w:rsidRPr="004A6F50" w:rsidP="00CB4B04">
      <w:pPr>
        <w:pStyle w:val="BodyText"/>
      </w:pPr>
      <w:r w:rsidRPr="004A6F50">
        <w:t xml:space="preserve">Work functions in the occupational areas where this unit may be used are subject to regulatory requirements. Refer to </w:t>
      </w:r>
      <w:r w:rsidRPr="004A6F50">
        <w:t>the FNS Implementation Guide Companion Volume or the relevant regulator for specific guidance on requirements.</w:t>
      </w:r>
    </w:p>
    <w:p w:rsidR="00000000" w:rsidRPr="004A6F50" w:rsidP="004A6F50">
      <w:pPr>
        <w:pStyle w:val="Heading1"/>
      </w:pPr>
      <w:bookmarkStart w:id="3" w:name="O_671217"/>
      <w:bookmarkEnd w:id="3"/>
      <w:r w:rsidRPr="004A6F50">
        <w:t>Unit Sector</w:t>
      </w:r>
    </w:p>
    <w:p w:rsidR="00000000" w:rsidRPr="004A6F50" w:rsidP="00CB4B04">
      <w:pPr>
        <w:pStyle w:val="BodyText"/>
      </w:pPr>
      <w:r w:rsidRPr="004A6F50">
        <w:t>Accounting</w:t>
      </w:r>
    </w:p>
    <w:p w:rsidR="00000000" w:rsidRPr="004A6F50" w:rsidP="004A6F50">
      <w:pPr>
        <w:pStyle w:val="Heading1"/>
      </w:pPr>
      <w:bookmarkStart w:id="4" w:name="O_671218"/>
      <w:bookmarkEnd w:id="4"/>
      <w:r w:rsidRPr="004A6F5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6F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rPr>
                <w:rStyle w:val="SpecialBold"/>
              </w:rPr>
              <w:t>PERFORMANCE CRITERIA</w:t>
            </w:r>
          </w:p>
        </w:tc>
      </w:tr>
      <w:tr w:rsidTr="004A6F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6F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1. Establish corporate governance standards and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t>1.1 Monitor application of and adherence to professional an</w:t>
            </w:r>
            <w:r w:rsidRPr="004A6F50">
              <w:t>d legal accounting standards to identify emerging trends and interpretations of statutory and other regulatory requirements</w:t>
            </w:r>
          </w:p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1.2 Research audit reports and practices to assess methodologies and recommendations</w:t>
            </w:r>
          </w:p>
        </w:tc>
      </w:tr>
      <w:tr w:rsidTr="004A6F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2. Identify corporate governance reporting tre</w:t>
            </w:r>
            <w:r w:rsidRPr="004A6F50">
              <w:t>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t>2.1 Analyse organisational practices to identify corporate governance obligations and performance</w:t>
            </w:r>
          </w:p>
          <w:p w:rsidR="00000000" w:rsidRPr="004A6F50" w:rsidP="004A6F50">
            <w:pPr>
              <w:pStyle w:val="BodyText"/>
            </w:pPr>
            <w:r w:rsidRPr="004A6F50">
              <w:t>2.2 Examine queries from statutory and other regulatory authorities for corporate governance failure to assess change effects on internal control procedures</w:t>
            </w:r>
          </w:p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 xml:space="preserve">2.3 Assess content and structure of reports, returns and processes for review to evaluate policies </w:t>
            </w:r>
            <w:r w:rsidRPr="004A6F50">
              <w:t>being followed by organisation</w:t>
            </w:r>
          </w:p>
        </w:tc>
      </w:tr>
      <w:tr w:rsidTr="004A6F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3. Determine processes for corporate governance adherence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t>3.1 Analyse and monitor internal control procedures to determine performance indicators for compliance with corporate governance requirements</w:t>
            </w:r>
          </w:p>
          <w:p w:rsidR="00000000" w:rsidRPr="004A6F50" w:rsidP="004A6F50">
            <w:pPr>
              <w:pStyle w:val="BodyText"/>
            </w:pPr>
            <w:r w:rsidRPr="004A6F50">
              <w:t>3.2 Evaluate information</w:t>
            </w:r>
            <w:r w:rsidRPr="004A6F50">
              <w:t xml:space="preserve"> technology systems to determine their use and suitability for recording data from operations and transactions for corporate governance obligations</w:t>
            </w:r>
          </w:p>
          <w:p w:rsidR="00000000" w:rsidRPr="004A6F50" w:rsidP="004A6F50">
            <w:pPr>
              <w:pStyle w:val="BodyText"/>
            </w:pPr>
            <w:r w:rsidRPr="004A6F50">
              <w:t xml:space="preserve">3.3 Establish management processes to support corporate governance </w:t>
            </w:r>
          </w:p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 xml:space="preserve">3.4 Establish reporting plans to ensure </w:t>
            </w:r>
            <w:r w:rsidRPr="004A6F50">
              <w:t>completion of compliance requirements within scheduled timeframes</w:t>
            </w:r>
          </w:p>
        </w:tc>
      </w:tr>
      <w:tr w:rsidTr="004A6F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4. Review corporate governance 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t>4.1 Assess achievement of performance indicators and review against key result areas</w:t>
            </w:r>
          </w:p>
          <w:p w:rsidR="00000000" w:rsidRPr="004A6F50" w:rsidP="004A6F50">
            <w:pPr>
              <w:pStyle w:val="BodyText"/>
            </w:pPr>
            <w:r w:rsidRPr="004A6F50">
              <w:t>4.2 Monitor compliance preparation processes and review in lin</w:t>
            </w:r>
            <w:r w:rsidRPr="004A6F50">
              <w:t>e with corporate governance requirements</w:t>
            </w:r>
          </w:p>
          <w:p w:rsidR="00000000" w:rsidRPr="004A6F50" w:rsidP="004A6F50">
            <w:pPr>
              <w:pStyle w:val="BodyText"/>
            </w:pPr>
            <w:r w:rsidRPr="004A6F50">
              <w:t>4.3 Analyse failures in compliance to diagnose shortcomings and to remedy processes in line with corporate governance requirements</w:t>
            </w:r>
          </w:p>
        </w:tc>
      </w:tr>
    </w:tbl>
    <w:p w:rsidR="00000000" w:rsidRPr="004A6F50" w:rsidP="004A6F50">
      <w:pPr>
        <w:pStyle w:val="BodyText"/>
      </w:pPr>
    </w:p>
    <w:p w:rsidR="00000000" w:rsidRPr="004A6F50" w:rsidP="004A6F50">
      <w:pPr>
        <w:pStyle w:val="AllowPageBreak"/>
      </w:pPr>
    </w:p>
    <w:p w:rsidR="00000000" w:rsidRPr="004A6F50" w:rsidP="004A6F50">
      <w:pPr>
        <w:pStyle w:val="Heading1"/>
      </w:pPr>
      <w:bookmarkStart w:id="5" w:name="O_671219"/>
      <w:bookmarkEnd w:id="5"/>
      <w:r w:rsidRPr="004A6F50">
        <w:t>Foundation Skills</w:t>
      </w:r>
    </w:p>
    <w:p w:rsidR="00000000" w:rsidRPr="00CB4B04" w:rsidP="00CB4B04">
      <w:pPr>
        <w:pStyle w:val="BodyText"/>
        <w:rPr>
          <w:i/>
        </w:rPr>
      </w:pPr>
      <w:r w:rsidRPr="00CB4B04">
        <w:rPr>
          <w:rStyle w:val="Emphasis"/>
        </w:rPr>
        <w:t>This section describes language, literacy, nume</w:t>
      </w:r>
      <w:r w:rsidRPr="00CB4B04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A6F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rPr>
                <w:rStyle w:val="SpecialBold"/>
              </w:rPr>
              <w:t>Description</w:t>
            </w:r>
          </w:p>
        </w:tc>
      </w:tr>
      <w:tr w:rsidTr="004A6F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1.1, 1.2, 2.1-2.3, 3.1, 3.2,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ListBullet"/>
              <w:rPr>
                <w:lang w:val="en-NZ"/>
              </w:rPr>
            </w:pPr>
            <w:r w:rsidRPr="004A6F50">
              <w:t xml:space="preserve">Accesses and critically analyses complex documentation, including relevant corporate governance legislation, to identify key information relevant to requirements </w:t>
            </w:r>
          </w:p>
        </w:tc>
      </w:tr>
      <w:tr w:rsidTr="004A6F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ListBullet"/>
            </w:pPr>
            <w:r w:rsidRPr="004A6F50">
              <w:t>Produces a range of written documentation, matching style of writing to th</w:t>
            </w:r>
            <w:r w:rsidRPr="004A6F50">
              <w:t>e audience and purpose</w:t>
            </w:r>
          </w:p>
          <w:p w:rsidR="00000000" w:rsidP="004A6F50">
            <w:pPr>
              <w:pStyle w:val="ListBullet"/>
              <w:rPr>
                <w:lang w:val="en-NZ"/>
              </w:rPr>
            </w:pPr>
            <w:r w:rsidRPr="004A6F50">
              <w:t>Uses clear language, correct terminology, grammar and spelling to convey meaning</w:t>
            </w:r>
          </w:p>
        </w:tc>
      </w:tr>
      <w:tr w:rsidTr="004A6F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1.2, 2.3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ListBullet"/>
              <w:rPr>
                <w:lang w:val="en-NZ"/>
              </w:rPr>
            </w:pPr>
            <w:r w:rsidRPr="004A6F50">
              <w:t>Accurately analyses financial and numerical information embedded in a range of texts and tasks to evaluate requirements</w:t>
            </w:r>
          </w:p>
        </w:tc>
      </w:tr>
      <w:tr w:rsidTr="004A6F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Navigate th</w:t>
            </w:r>
            <w:r w:rsidRPr="004A6F50">
              <w:t>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1.1, 1.2, 2.1-2.3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ListBullet"/>
            </w:pPr>
            <w:r w:rsidRPr="004A6F50">
              <w:t>Ensures currency of knowledge relating to legislation, regulations and policies applicable to governance and professional requirements</w:t>
            </w:r>
          </w:p>
          <w:p w:rsidR="00000000" w:rsidP="004A6F50">
            <w:pPr>
              <w:pStyle w:val="ListBullet"/>
              <w:rPr>
                <w:lang w:val="en-NZ"/>
              </w:rPr>
            </w:pPr>
            <w:r w:rsidRPr="004A6F50">
              <w:t>Takes full responsibility for following policies, procedures and legislative requirements and identifies organisational implications of changes to legislation or regulations</w:t>
            </w:r>
          </w:p>
        </w:tc>
      </w:tr>
      <w:tr w:rsidTr="004A6F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Interacts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1.2, 2.1, 2.2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ListBullet"/>
              <w:rPr>
                <w:lang w:val="en-NZ"/>
              </w:rPr>
            </w:pPr>
            <w:r w:rsidRPr="004A6F50">
              <w:t>Consults with personnel on internal procedur</w:t>
            </w:r>
            <w:r w:rsidRPr="004A6F50">
              <w:t>es using questioning and active listening to elicit, convey and clarify information</w:t>
            </w:r>
          </w:p>
        </w:tc>
      </w:tr>
      <w:tr w:rsidTr="004A6F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1.1, 2.1-2.3, 3.1-3.4,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ListBullet"/>
            </w:pPr>
            <w:r w:rsidRPr="004A6F50">
              <w:t>Plans, organises, implements and reviews systems and processes to manage compliance with relevant regulations and legisla</w:t>
            </w:r>
            <w:r w:rsidRPr="004A6F50">
              <w:t>tion</w:t>
            </w:r>
          </w:p>
          <w:p w:rsidR="00000000" w:rsidRPr="004A6F50" w:rsidP="004A6F50">
            <w:pPr>
              <w:pStyle w:val="ListBullet"/>
            </w:pPr>
            <w:r w:rsidRPr="004A6F50">
              <w:t xml:space="preserve">Takes responsibility for planning, sequencing and prioritising complex tasks and own workload for efficiency and effective outcomes </w:t>
            </w:r>
          </w:p>
          <w:p w:rsidR="00000000" w:rsidRPr="004A6F50" w:rsidP="004A6F50">
            <w:pPr>
              <w:pStyle w:val="ListBullet"/>
            </w:pPr>
            <w:r w:rsidRPr="004A6F50">
              <w:t>Uses systematic analytical problem-solving processes in complex, routine and non-routine situations, gathering informa</w:t>
            </w:r>
            <w:r w:rsidRPr="004A6F50">
              <w:t>tion and identifying and evaluating options against criteria</w:t>
            </w:r>
          </w:p>
          <w:p w:rsidR="00000000" w:rsidRPr="004A6F50" w:rsidP="004A6F50">
            <w:pPr>
              <w:pStyle w:val="ListBullet"/>
            </w:pPr>
            <w:r w:rsidRPr="004A6F50">
              <w:t>Evaluates the effectiveness of systems and processes to inform decisions on how to implement improvements</w:t>
            </w:r>
          </w:p>
          <w:p w:rsidR="00000000" w:rsidRPr="004A6F50" w:rsidP="004A6F50">
            <w:pPr>
              <w:pStyle w:val="ListBullet"/>
            </w:pPr>
            <w:r w:rsidRPr="004A6F50">
              <w:t>Recognises and anticipates a range of problems, implementing contingency plans when appro</w:t>
            </w:r>
            <w:r w:rsidRPr="004A6F50">
              <w:t>priate</w:t>
            </w:r>
          </w:p>
          <w:p w:rsidR="00000000" w:rsidRPr="004A6F50" w:rsidP="004A6F50">
            <w:pPr>
              <w:pStyle w:val="ListBullet"/>
            </w:pPr>
            <w:r w:rsidRPr="004A6F50">
              <w:t>Recognises opportunities to develop and apply new ideas</w:t>
            </w:r>
          </w:p>
          <w:p w:rsidR="00000000" w:rsidRPr="004A6F50" w:rsidP="004A6F50">
            <w:pPr>
              <w:pStyle w:val="ListBullet"/>
            </w:pPr>
            <w:r w:rsidRPr="004A6F50">
              <w:t>Uses a range of digital technologies to access, extract and share relevant information to achieve required outcomes</w:t>
            </w:r>
          </w:p>
        </w:tc>
      </w:tr>
    </w:tbl>
    <w:p w:rsidR="00000000" w:rsidRPr="004A6F50" w:rsidP="004A6F50">
      <w:pPr>
        <w:pStyle w:val="BodyText"/>
      </w:pPr>
    </w:p>
    <w:p w:rsidR="00000000" w:rsidRPr="004A6F50" w:rsidP="004A6F50">
      <w:pPr>
        <w:pStyle w:val="AllowPageBreak"/>
      </w:pPr>
    </w:p>
    <w:p w:rsidR="00000000" w:rsidRPr="004A6F50" w:rsidP="004A6F50">
      <w:pPr>
        <w:pStyle w:val="Heading1"/>
      </w:pPr>
      <w:bookmarkStart w:id="6" w:name="O_671221"/>
      <w:bookmarkEnd w:id="6"/>
      <w:r w:rsidRPr="004A6F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A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 xml:space="preserve">Code and title </w:t>
            </w:r>
          </w:p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>Code and title</w:t>
            </w:r>
          </w:p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rPr>
                <w:rStyle w:val="SpecialBold"/>
              </w:rPr>
              <w:t>Equivalence status</w:t>
            </w:r>
          </w:p>
        </w:tc>
      </w:tr>
      <w:tr w:rsidTr="004A6F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FNSACC604 Monitor corporate governance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FNSACC604A Monitor corporate governance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F50">
            <w:pPr>
              <w:pStyle w:val="BodyText"/>
              <w:rPr>
                <w:lang w:val="en-NZ"/>
              </w:rPr>
            </w:pPr>
            <w:r w:rsidRPr="004A6F5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F50" w:rsidP="004A6F50">
            <w:pPr>
              <w:pStyle w:val="BodyText"/>
            </w:pPr>
            <w:r w:rsidRPr="004A6F50">
              <w:t>Equivalent unit</w:t>
            </w:r>
          </w:p>
        </w:tc>
      </w:tr>
    </w:tbl>
    <w:p w:rsidR="00000000" w:rsidRPr="004A6F50" w:rsidP="004A6F50">
      <w:pPr>
        <w:pStyle w:val="BodyText"/>
      </w:pPr>
    </w:p>
    <w:p w:rsidR="00000000" w:rsidRPr="004A6F50" w:rsidP="004A6F50">
      <w:pPr>
        <w:pStyle w:val="AllowPageBreak"/>
      </w:pPr>
    </w:p>
    <w:p w:rsidR="00000000" w:rsidRPr="004A6F50" w:rsidP="004A6F50">
      <w:pPr>
        <w:pStyle w:val="Heading1"/>
      </w:pPr>
      <w:bookmarkStart w:id="7" w:name="O_671228"/>
      <w:bookmarkEnd w:id="7"/>
      <w:r w:rsidRPr="004A6F50">
        <w:t>Links</w:t>
      </w:r>
    </w:p>
    <w:p w:rsidR="00000000" w:rsidRPr="004A6F50" w:rsidP="00CB4B04">
      <w:pPr>
        <w:pStyle w:val="BodyText"/>
      </w:pPr>
      <w:r w:rsidRPr="004A6F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20DA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6F50" w:rsidP="004A6F50"/>
    <w:sectPr w:rsidSect="004A6F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50" w:rsidRPr="00CB4B04" w:rsidP="00CB4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04" w:rsidP="004A6F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B04" w:rsidP="004A6F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4B04" w:rsidP="004A6F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F50" w:rsidRPr="00CB4B04" w:rsidP="00CB4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F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04" w:rsidRPr="002D2AF8" w:rsidP="004A6F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FNSACC604 Monitor corporate governance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B4B04" w:rsidP="004A6F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96D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BE9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F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F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F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F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F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F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F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F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F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F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F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F50"/>
  </w:style>
  <w:style w:type="character" w:customStyle="1" w:styleId="Heading1Char">
    <w:name w:val="Heading 1 Char"/>
    <w:basedOn w:val="DefaultParagraphFont"/>
    <w:link w:val="Heading1"/>
    <w:rsid w:val="004A6F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F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F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F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F50"/>
    <w:rPr>
      <w:b/>
      <w:spacing w:val="0"/>
    </w:rPr>
  </w:style>
  <w:style w:type="character" w:styleId="Emphasis">
    <w:name w:val="Emphasis"/>
    <w:basedOn w:val="DefaultParagraphFont"/>
    <w:qFormat/>
    <w:rsid w:val="004A6F50"/>
    <w:rPr>
      <w:i/>
    </w:rPr>
  </w:style>
  <w:style w:type="paragraph" w:customStyle="1" w:styleId="SuperHeading">
    <w:name w:val="SuperHeading"/>
    <w:basedOn w:val="Normal"/>
    <w:rsid w:val="004A6F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F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F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F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F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F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F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F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F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F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F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F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F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F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F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F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F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F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F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F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F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F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F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F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F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F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F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F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F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F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F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F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F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F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F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F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F50"/>
  </w:style>
  <w:style w:type="paragraph" w:styleId="TableofFigures">
    <w:name w:val="table of figures"/>
    <w:basedOn w:val="Normal"/>
    <w:next w:val="Normal"/>
    <w:semiHidden/>
    <w:rsid w:val="004A6F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F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6F50"/>
    <w:rPr>
      <w:rFonts w:ascii="Wingdings" w:hAnsi="Wingdings"/>
    </w:rPr>
  </w:style>
  <w:style w:type="paragraph" w:customStyle="1" w:styleId="TableHeading">
    <w:name w:val="Table Heading"/>
    <w:basedOn w:val="HeadingBase"/>
    <w:rsid w:val="004A6F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F50"/>
    <w:rPr>
      <w:color w:val="0033CC"/>
      <w:u w:val="none"/>
    </w:rPr>
  </w:style>
  <w:style w:type="paragraph" w:customStyle="1" w:styleId="BodyTextRight">
    <w:name w:val="Body Text Right"/>
    <w:basedOn w:val="BodyText"/>
    <w:rsid w:val="004A6F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F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F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F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F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F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F50"/>
    <w:rPr>
      <w:sz w:val="32"/>
    </w:rPr>
  </w:style>
  <w:style w:type="paragraph" w:customStyle="1" w:styleId="HeadingProcedure">
    <w:name w:val="Heading Procedure"/>
    <w:basedOn w:val="HeadingBase"/>
    <w:next w:val="Normal"/>
    <w:rsid w:val="004A6F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F50"/>
    <w:pPr>
      <w:spacing w:before="60" w:after="60"/>
    </w:pPr>
  </w:style>
  <w:style w:type="paragraph" w:styleId="ListContinue">
    <w:name w:val="List Continue"/>
    <w:basedOn w:val="List"/>
    <w:rsid w:val="004A6F50"/>
    <w:pPr>
      <w:ind w:firstLine="0"/>
    </w:pPr>
  </w:style>
  <w:style w:type="paragraph" w:customStyle="1" w:styleId="ListNote">
    <w:name w:val="List Note"/>
    <w:basedOn w:val="List"/>
    <w:rsid w:val="004A6F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F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F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F50"/>
    <w:rPr>
      <w:rFonts w:ascii="Courier New" w:hAnsi="Courier New"/>
    </w:rPr>
  </w:style>
  <w:style w:type="paragraph" w:customStyle="1" w:styleId="NoteBullet">
    <w:name w:val="Note Bullet"/>
    <w:basedOn w:val="Note"/>
    <w:rsid w:val="004A6F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F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F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F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F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6F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F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F50"/>
    <w:rPr>
      <w:b/>
      <w:smallCaps/>
    </w:rPr>
  </w:style>
  <w:style w:type="paragraph" w:customStyle="1" w:styleId="TableListNumber">
    <w:name w:val="Table List Number"/>
    <w:basedOn w:val="ListNumber"/>
    <w:rsid w:val="004A6F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F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F50"/>
    <w:pPr>
      <w:numPr>
        <w:numId w:val="8"/>
      </w:numPr>
    </w:pPr>
  </w:style>
  <w:style w:type="paragraph" w:customStyle="1" w:styleId="ListAlpha2">
    <w:name w:val="List Alpha 2"/>
    <w:basedOn w:val="List2"/>
    <w:rsid w:val="004A6F50"/>
    <w:pPr>
      <w:numPr>
        <w:numId w:val="7"/>
      </w:numPr>
    </w:pPr>
  </w:style>
  <w:style w:type="paragraph" w:styleId="List2">
    <w:name w:val="List 2"/>
    <w:basedOn w:val="BodyText"/>
    <w:rsid w:val="004A6F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F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F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F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F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F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F50"/>
    <w:pPr>
      <w:numPr>
        <w:numId w:val="3"/>
      </w:numPr>
    </w:pPr>
  </w:style>
  <w:style w:type="paragraph" w:styleId="ListContinue2">
    <w:name w:val="List Continue 2"/>
    <w:basedOn w:val="List2"/>
    <w:rsid w:val="004A6F50"/>
    <w:pPr>
      <w:ind w:firstLine="0"/>
    </w:pPr>
  </w:style>
  <w:style w:type="paragraph" w:styleId="ListContinue3">
    <w:name w:val="List Continue 3"/>
    <w:basedOn w:val="List3"/>
    <w:rsid w:val="004A6F50"/>
    <w:pPr>
      <w:ind w:left="1021" w:firstLine="0"/>
    </w:pPr>
  </w:style>
  <w:style w:type="paragraph" w:styleId="ListContinue4">
    <w:name w:val="List Continue 4"/>
    <w:basedOn w:val="List4"/>
    <w:rsid w:val="004A6F50"/>
    <w:pPr>
      <w:ind w:firstLine="0"/>
    </w:pPr>
  </w:style>
  <w:style w:type="paragraph" w:styleId="ListContinue5">
    <w:name w:val="List Continue 5"/>
    <w:basedOn w:val="List5"/>
    <w:rsid w:val="004A6F50"/>
    <w:pPr>
      <w:ind w:firstLine="0"/>
    </w:pPr>
  </w:style>
  <w:style w:type="paragraph" w:styleId="ListNumber3">
    <w:name w:val="List Number 3"/>
    <w:basedOn w:val="List3"/>
    <w:rsid w:val="004A6F50"/>
    <w:pPr>
      <w:numPr>
        <w:numId w:val="4"/>
      </w:numPr>
    </w:pPr>
  </w:style>
  <w:style w:type="paragraph" w:styleId="ListNumber4">
    <w:name w:val="List Number 4"/>
    <w:basedOn w:val="List4"/>
    <w:rsid w:val="004A6F50"/>
    <w:pPr>
      <w:numPr>
        <w:numId w:val="5"/>
      </w:numPr>
    </w:pPr>
  </w:style>
  <w:style w:type="paragraph" w:styleId="ListNumber5">
    <w:name w:val="List Number 5"/>
    <w:basedOn w:val="List5"/>
    <w:rsid w:val="004A6F50"/>
    <w:pPr>
      <w:numPr>
        <w:numId w:val="6"/>
      </w:numPr>
    </w:pPr>
  </w:style>
  <w:style w:type="paragraph" w:styleId="BlockText">
    <w:name w:val="Block Text"/>
    <w:basedOn w:val="Normal"/>
    <w:rsid w:val="004A6F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F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F50"/>
    <w:rPr>
      <w:sz w:val="16"/>
      <w:vertAlign w:val="superscript"/>
    </w:rPr>
  </w:style>
  <w:style w:type="character" w:customStyle="1" w:styleId="Symbols">
    <w:name w:val="Symbols"/>
    <w:basedOn w:val="DefaultParagraphFont"/>
    <w:rsid w:val="004A6F50"/>
    <w:rPr>
      <w:rFonts w:ascii="Symbol" w:hAnsi="Symbol"/>
    </w:rPr>
  </w:style>
  <w:style w:type="character" w:customStyle="1" w:styleId="MenuOptions">
    <w:name w:val="Menu Options"/>
    <w:basedOn w:val="DefaultParagraphFont"/>
    <w:rsid w:val="004A6F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F50"/>
    <w:rPr>
      <w:b/>
    </w:rPr>
  </w:style>
  <w:style w:type="character" w:customStyle="1" w:styleId="Underlined">
    <w:name w:val="Underlined"/>
    <w:basedOn w:val="DefaultParagraphFont"/>
    <w:rsid w:val="004A6F50"/>
    <w:rPr>
      <w:u w:val="single"/>
    </w:rPr>
  </w:style>
  <w:style w:type="paragraph" w:customStyle="1" w:styleId="TableBodyTextRight">
    <w:name w:val="Table Body Text Right"/>
    <w:basedOn w:val="TableBodyText"/>
    <w:rsid w:val="004A6F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F50"/>
    <w:rPr>
      <w:sz w:val="18"/>
    </w:rPr>
  </w:style>
  <w:style w:type="paragraph" w:customStyle="1" w:styleId="BodySmallRight">
    <w:name w:val="Body Small Right"/>
    <w:basedOn w:val="BodyTextRight"/>
    <w:rsid w:val="004A6F50"/>
    <w:rPr>
      <w:sz w:val="18"/>
      <w:szCs w:val="18"/>
    </w:rPr>
  </w:style>
  <w:style w:type="paragraph" w:customStyle="1" w:styleId="MarginEdition">
    <w:name w:val="Margin Edition"/>
    <w:basedOn w:val="MarginNote"/>
    <w:rsid w:val="004A6F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F50"/>
    <w:rPr>
      <w:sz w:val="2"/>
      <w:szCs w:val="2"/>
    </w:rPr>
  </w:style>
  <w:style w:type="character" w:customStyle="1" w:styleId="Small">
    <w:name w:val="Small"/>
    <w:basedOn w:val="DefaultParagraphFont"/>
    <w:rsid w:val="004A6F50"/>
    <w:rPr>
      <w:sz w:val="16"/>
    </w:rPr>
  </w:style>
  <w:style w:type="paragraph" w:customStyle="1" w:styleId="WideTable">
    <w:name w:val="Wide Table"/>
    <w:basedOn w:val="Normal"/>
    <w:rsid w:val="004A6F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F50"/>
  </w:style>
  <w:style w:type="paragraph" w:styleId="Quote">
    <w:name w:val="Quote"/>
    <w:basedOn w:val="Heading1"/>
    <w:link w:val="QuoteChar"/>
    <w:qFormat/>
    <w:rsid w:val="004A6F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F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F50"/>
    <w:pPr>
      <w:pageBreakBefore/>
    </w:pPr>
  </w:style>
  <w:style w:type="paragraph" w:customStyle="1" w:styleId="Border">
    <w:name w:val="Border"/>
    <w:basedOn w:val="Normal"/>
    <w:qFormat/>
    <w:rsid w:val="004A6F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F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F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F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F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F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F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F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F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F50"/>
    <w:rPr>
      <w:u w:val="single"/>
    </w:rPr>
  </w:style>
  <w:style w:type="character" w:customStyle="1" w:styleId="BoldandItalics">
    <w:name w:val="Bold and Italics"/>
    <w:qFormat/>
    <w:rsid w:val="004A6F50"/>
    <w:rPr>
      <w:b/>
      <w:i/>
      <w:u w:val="none"/>
    </w:rPr>
  </w:style>
  <w:style w:type="paragraph" w:styleId="BalloonText">
    <w:name w:val="Balloon Text"/>
    <w:basedOn w:val="Normal"/>
    <w:link w:val="BalloonTextChar"/>
    <w:rsid w:val="004A6F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F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F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F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F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F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F50"/>
    <w:pPr>
      <w:spacing w:before="0" w:after="0"/>
    </w:pPr>
  </w:style>
  <w:style w:type="paragraph" w:customStyle="1" w:styleId="BodyTextBold">
    <w:name w:val="Body Text Bold"/>
    <w:basedOn w:val="BodyText"/>
    <w:qFormat/>
    <w:rsid w:val="004A6F50"/>
    <w:rPr>
      <w:b/>
    </w:rPr>
  </w:style>
  <w:style w:type="character" w:styleId="Hyperlink">
    <w:name w:val="Hyperlink"/>
    <w:basedOn w:val="DefaultParagraphFont"/>
    <w:uiPriority w:val="99"/>
    <w:unhideWhenUsed/>
    <w:rsid w:val="00CB4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4897</Characters>
  <Application>Microsoft Office Word</Application>
  <DocSecurity>0</DocSecurity>
  <Lines>174</Lines>
  <Paragraphs>93</Paragraphs>
  <ScaleCrop>false</ScaleCrop>
  <Company>Author-it Software Corporation Ltd.</Company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FNSACC604 Monitor corporate governance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2023-07-01T03:04:00Z</dcterms:created>
  <dcterms:modified xsi:type="dcterms:W3CDTF">2023-07-01T03:04:00Z</dcterms:modified>
</cp:coreProperties>
</file>