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227" w:rsidP="00B27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FNSACC604 Monitor corporate governance activities</w:t>
      </w:r>
      <w:r>
        <w:fldChar w:fldCharType="end"/>
      </w:r>
    </w:p>
    <w:p w:rsidR="00B27227" w:rsidP="00B27227">
      <w:pPr>
        <w:pStyle w:val="Version"/>
        <w:sectPr w:rsidSect="003D7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892" w:rsidP="003D7892">
      <w:pPr>
        <w:pStyle w:val="SuperHeading"/>
      </w:pPr>
      <w:r w:rsidRPr="003D7892">
        <w:t>Assessment Requirements for FNSACC604 Monitor corporate governance activities</w:t>
      </w:r>
    </w:p>
    <w:p w:rsidR="00000000" w:rsidRPr="003D7892" w:rsidP="003D7892">
      <w:pPr>
        <w:pStyle w:val="Heading1"/>
      </w:pPr>
      <w:bookmarkStart w:id="1" w:name="O_671223"/>
      <w:bookmarkEnd w:id="1"/>
      <w:r w:rsidRPr="003D7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7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92" w:rsidP="003D7892">
            <w:pPr>
              <w:pStyle w:val="BodyText"/>
            </w:pPr>
            <w:r w:rsidRPr="003D78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92">
            <w:pPr>
              <w:pStyle w:val="BodyText"/>
              <w:rPr>
                <w:lang w:val="en-NZ"/>
              </w:rPr>
            </w:pPr>
            <w:r w:rsidRPr="003D7892">
              <w:rPr>
                <w:rStyle w:val="SpecialBold"/>
              </w:rPr>
              <w:t>Comments</w:t>
            </w:r>
          </w:p>
        </w:tc>
      </w:tr>
      <w:tr w:rsidTr="003D7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92">
            <w:pPr>
              <w:pStyle w:val="BodyText"/>
              <w:rPr>
                <w:lang w:val="en-NZ"/>
              </w:rPr>
            </w:pPr>
            <w:r w:rsidRPr="003D78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92" w:rsidP="003D7892">
            <w:pPr>
              <w:pStyle w:val="BodyText"/>
            </w:pPr>
            <w:r w:rsidRPr="003D7892">
              <w:t>This version first released with FNS Financial Services Training Package Version 1.0.</w:t>
            </w:r>
          </w:p>
        </w:tc>
      </w:tr>
    </w:tbl>
    <w:p w:rsidR="00000000" w:rsidRPr="003D7892" w:rsidP="003D7892">
      <w:pPr>
        <w:pStyle w:val="BodyText"/>
      </w:pPr>
    </w:p>
    <w:p w:rsidR="00000000" w:rsidRPr="003D7892" w:rsidP="003D7892">
      <w:pPr>
        <w:pStyle w:val="AllowPageBreak"/>
      </w:pPr>
    </w:p>
    <w:p w:rsidR="00000000" w:rsidRPr="003D7892" w:rsidP="003D7892">
      <w:pPr>
        <w:pStyle w:val="Heading1"/>
      </w:pPr>
      <w:bookmarkStart w:id="2" w:name="O_671224"/>
      <w:bookmarkEnd w:id="2"/>
      <w:r w:rsidRPr="003D7892">
        <w:t>Performance Evidence</w:t>
      </w:r>
    </w:p>
    <w:p w:rsidR="00000000" w:rsidRPr="003D7892" w:rsidP="00B27227">
      <w:pPr>
        <w:pStyle w:val="BodyText"/>
      </w:pPr>
      <w:r w:rsidRPr="003D7892">
        <w:t>Evidence of the ability to:</w:t>
      </w:r>
    </w:p>
    <w:p w:rsidR="00000000" w:rsidRPr="003D7892" w:rsidP="003D7892">
      <w:pPr>
        <w:pStyle w:val="ListBullet"/>
      </w:pPr>
      <w:r w:rsidRPr="003D7892">
        <w:t>research corporate governance reporting trends</w:t>
      </w:r>
    </w:p>
    <w:p w:rsidR="00000000" w:rsidRPr="003D7892" w:rsidP="003D7892">
      <w:pPr>
        <w:pStyle w:val="ListBullet"/>
      </w:pPr>
      <w:r w:rsidRPr="003D7892">
        <w:t>determine processes for monitoring corporate governance adherence</w:t>
      </w:r>
    </w:p>
    <w:p w:rsidR="00000000" w:rsidRPr="003D7892" w:rsidP="003D7892">
      <w:pPr>
        <w:pStyle w:val="ListBullet"/>
      </w:pPr>
      <w:r w:rsidRPr="003D7892">
        <w:t>examine and review corporate governance standards and practices following:</w:t>
      </w:r>
    </w:p>
    <w:p w:rsidR="00000000" w:rsidRPr="003D7892" w:rsidP="003D7892">
      <w:pPr>
        <w:pStyle w:val="ListBullet2"/>
      </w:pPr>
      <w:r w:rsidRPr="003D7892">
        <w:t>professional acco</w:t>
      </w:r>
      <w:r w:rsidRPr="003D7892">
        <w:t xml:space="preserve">unting standards </w:t>
      </w:r>
    </w:p>
    <w:p w:rsidR="00000000" w:rsidRPr="003D7892" w:rsidP="003D7892">
      <w:pPr>
        <w:pStyle w:val="ListBullet2"/>
      </w:pPr>
      <w:r w:rsidRPr="003D7892">
        <w:t>organisational policy and procedures</w:t>
      </w:r>
    </w:p>
    <w:p w:rsidR="00000000" w:rsidRPr="003D7892" w:rsidP="003D7892">
      <w:pPr>
        <w:pStyle w:val="ListBullet2"/>
      </w:pPr>
      <w:r w:rsidRPr="003D7892">
        <w:t xml:space="preserve">statutory and regulatory requirements. </w:t>
      </w:r>
    </w:p>
    <w:p w:rsidR="00000000" w:rsidRPr="003D7892" w:rsidP="003D7892">
      <w:pPr>
        <w:pStyle w:val="BodyText"/>
      </w:pPr>
    </w:p>
    <w:p w:rsidR="00000000" w:rsidRPr="003D7892" w:rsidP="00B27227">
      <w:pPr>
        <w:pStyle w:val="BodyText"/>
      </w:pPr>
      <w:r w:rsidRPr="003D7892">
        <w:t>Note: If a specific volume or frequency is not stated, then evidence must be provided at least once.</w:t>
      </w:r>
    </w:p>
    <w:p w:rsidR="00000000" w:rsidRPr="003D7892" w:rsidP="003D7892">
      <w:pPr>
        <w:pStyle w:val="Heading1"/>
      </w:pPr>
      <w:bookmarkStart w:id="3" w:name="O_671225"/>
      <w:bookmarkEnd w:id="3"/>
      <w:r w:rsidRPr="003D7892">
        <w:t>Knowledge Evidence</w:t>
      </w:r>
    </w:p>
    <w:p w:rsidR="00000000" w:rsidRPr="003D7892" w:rsidP="00B27227">
      <w:pPr>
        <w:pStyle w:val="BodyText"/>
      </w:pPr>
      <w:r w:rsidRPr="003D7892">
        <w:t>To complete the unit requirements safely and effectively, the individual must:</w:t>
      </w:r>
    </w:p>
    <w:p w:rsidR="00000000" w:rsidRPr="003D7892" w:rsidP="003D7892">
      <w:pPr>
        <w:pStyle w:val="ListBullet"/>
      </w:pPr>
      <w:r w:rsidRPr="003D7892">
        <w:t>access and accurately interpret authority regulations and requirements</w:t>
      </w:r>
    </w:p>
    <w:p w:rsidR="00000000" w:rsidRPr="003D7892" w:rsidP="003D7892">
      <w:pPr>
        <w:pStyle w:val="ListBullet"/>
      </w:pPr>
      <w:r w:rsidRPr="003D7892">
        <w:t>identify and explain the key features of current financial legislation, and statutory and regulatory requ</w:t>
      </w:r>
      <w:r w:rsidRPr="003D7892">
        <w:t xml:space="preserve">irements </w:t>
      </w:r>
    </w:p>
    <w:p w:rsidR="00000000" w:rsidRPr="003D7892" w:rsidP="003D7892">
      <w:pPr>
        <w:pStyle w:val="ListBullet"/>
      </w:pPr>
      <w:r w:rsidRPr="003D7892">
        <w:t>explain the current formats required for submission of statutory returns</w:t>
      </w:r>
    </w:p>
    <w:p w:rsidR="00000000" w:rsidRPr="003D7892" w:rsidP="003D7892">
      <w:pPr>
        <w:pStyle w:val="ListBullet"/>
      </w:pPr>
      <w:r w:rsidRPr="003D7892">
        <w:t>discuss ethical considerations relating to compliance and governance</w:t>
      </w:r>
    </w:p>
    <w:p w:rsidR="00000000" w:rsidRPr="003D7892" w:rsidP="003D7892">
      <w:pPr>
        <w:pStyle w:val="ListBullet"/>
      </w:pPr>
      <w:r w:rsidRPr="003D7892">
        <w:t>outline the key management processes that support corporate governance</w:t>
      </w:r>
    </w:p>
    <w:p w:rsidR="00000000" w:rsidRPr="003D7892" w:rsidP="003D7892">
      <w:pPr>
        <w:pStyle w:val="ListBullet"/>
      </w:pPr>
      <w:r w:rsidRPr="003D7892">
        <w:t>identify and explain the forms an</w:t>
      </w:r>
      <w:r w:rsidRPr="003D7892">
        <w:t>d functions of employee records</w:t>
      </w:r>
    </w:p>
    <w:p w:rsidR="00000000" w:rsidRPr="003D7892" w:rsidP="003D7892">
      <w:pPr>
        <w:pStyle w:val="ListBullet"/>
      </w:pPr>
      <w:r w:rsidRPr="003D7892">
        <w:t>identify and explain the key principles of:</w:t>
      </w:r>
    </w:p>
    <w:p w:rsidR="00000000" w:rsidRPr="003D7892" w:rsidP="003D7892">
      <w:pPr>
        <w:pStyle w:val="ListBullet2"/>
      </w:pPr>
      <w:r w:rsidRPr="003D7892">
        <w:t xml:space="preserve">internal control </w:t>
      </w:r>
    </w:p>
    <w:p w:rsidR="00000000" w:rsidRPr="003D7892" w:rsidP="003D7892">
      <w:pPr>
        <w:pStyle w:val="ListBullet2"/>
      </w:pPr>
      <w:r w:rsidRPr="003D7892">
        <w:t>valuation and common methods of depreciation</w:t>
      </w:r>
    </w:p>
    <w:p w:rsidR="00000000" w:rsidRPr="003D7892" w:rsidP="003D7892">
      <w:pPr>
        <w:pStyle w:val="ListBullet"/>
      </w:pPr>
      <w:r w:rsidRPr="003D7892">
        <w:t xml:space="preserve">discuss the significance of performance indicators and key result areas relevant to monitoring </w:t>
      </w:r>
      <w:r w:rsidRPr="003D7892">
        <w:t>corporate governance activities.</w:t>
      </w:r>
    </w:p>
    <w:p w:rsidR="00000000" w:rsidRPr="003D7892" w:rsidP="003D7892">
      <w:pPr>
        <w:pStyle w:val="AllowPageBreak"/>
      </w:pPr>
    </w:p>
    <w:p w:rsidR="00000000" w:rsidRPr="003D7892" w:rsidP="003D7892">
      <w:pPr>
        <w:pStyle w:val="Heading1"/>
      </w:pPr>
      <w:bookmarkStart w:id="4" w:name="O_671226"/>
      <w:bookmarkEnd w:id="4"/>
      <w:r w:rsidRPr="003D7892">
        <w:t>Assessment Conditions</w:t>
      </w:r>
    </w:p>
    <w:p w:rsidR="00000000" w:rsidRPr="003D7892" w:rsidP="00B27227">
      <w:pPr>
        <w:pStyle w:val="BodyText"/>
      </w:pPr>
      <w:r w:rsidRPr="003D7892">
        <w:t>Assessment must be conducted in a safe environment where evidence gathered demonstrates consistent performance of typical activities experienced in the accounting field of work and inc</w:t>
      </w:r>
      <w:r w:rsidRPr="003D7892">
        <w:t xml:space="preserve">lude access to: </w:t>
      </w:r>
    </w:p>
    <w:p w:rsidR="00000000" w:rsidRPr="003D7892" w:rsidP="003D7892">
      <w:pPr>
        <w:pStyle w:val="ListBullet"/>
      </w:pPr>
      <w:r w:rsidRPr="003D7892">
        <w:t>common office equipment, technology, software and consumables</w:t>
      </w:r>
    </w:p>
    <w:p w:rsidR="00000000" w:rsidRPr="003D7892" w:rsidP="003D7892">
      <w:pPr>
        <w:pStyle w:val="ListBullet"/>
      </w:pPr>
      <w:r w:rsidRPr="003D7892">
        <w:t>an integrated financial software system and data</w:t>
      </w:r>
    </w:p>
    <w:p w:rsidR="00000000" w:rsidRPr="003D7892" w:rsidP="003D7892">
      <w:pPr>
        <w:pStyle w:val="ListBullet"/>
      </w:pPr>
      <w:r w:rsidRPr="003D7892">
        <w:t>corporate governance documentation and organisational operational policy and procedures information.</w:t>
      </w:r>
    </w:p>
    <w:p w:rsidR="00000000" w:rsidRPr="003D7892" w:rsidP="003D7892">
      <w:pPr>
        <w:pStyle w:val="BodyText"/>
      </w:pPr>
    </w:p>
    <w:p w:rsidR="00000000" w:rsidRPr="003D7892" w:rsidP="00B27227">
      <w:pPr>
        <w:pStyle w:val="BodyText"/>
      </w:pPr>
      <w:r w:rsidRPr="003D7892">
        <w:t>Assessors must satisfy NV</w:t>
      </w:r>
      <w:r w:rsidRPr="003D7892">
        <w:t>R/AQTF assessor requirements.</w:t>
      </w:r>
    </w:p>
    <w:p w:rsidR="00000000" w:rsidRPr="003D7892" w:rsidP="003D7892">
      <w:pPr>
        <w:pStyle w:val="Heading1"/>
      </w:pPr>
      <w:bookmarkStart w:id="5" w:name="O_671229"/>
      <w:bookmarkEnd w:id="5"/>
      <w:r w:rsidRPr="003D7892">
        <w:t>Links</w:t>
      </w:r>
    </w:p>
    <w:p w:rsidR="00000000" w:rsidRPr="003D7892" w:rsidP="00B27227">
      <w:pPr>
        <w:pStyle w:val="BodyText"/>
      </w:pPr>
      <w:r w:rsidRPr="003D78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19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D7892" w:rsidP="003D7892"/>
    <w:sectPr w:rsidSect="003D7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92" w:rsidRPr="00B27227" w:rsidP="00B27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27" w:rsidP="003D7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227" w:rsidP="003D7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7227" w:rsidP="003D7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892" w:rsidRPr="00B27227" w:rsidP="00B27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27" w:rsidRPr="002D2AF8" w:rsidP="003D7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FNSACC604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27227" w:rsidP="003D7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12D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C85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CD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892"/>
  </w:style>
  <w:style w:type="character" w:customStyle="1" w:styleId="Heading1Char">
    <w:name w:val="Heading 1 Char"/>
    <w:basedOn w:val="DefaultParagraphFont"/>
    <w:link w:val="Heading1"/>
    <w:rsid w:val="003D7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8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892"/>
    <w:rPr>
      <w:b/>
      <w:spacing w:val="0"/>
    </w:rPr>
  </w:style>
  <w:style w:type="paragraph" w:styleId="ListBullet2">
    <w:name w:val="List Bullet 2"/>
    <w:basedOn w:val="List2"/>
    <w:rsid w:val="003D78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892"/>
    <w:rPr>
      <w:i/>
    </w:rPr>
  </w:style>
  <w:style w:type="paragraph" w:styleId="Caption">
    <w:name w:val="caption"/>
    <w:basedOn w:val="BodyText"/>
    <w:next w:val="Normal"/>
    <w:qFormat/>
    <w:rsid w:val="003D7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892"/>
  </w:style>
  <w:style w:type="paragraph" w:styleId="TableofFigures">
    <w:name w:val="table of figures"/>
    <w:basedOn w:val="Normal"/>
    <w:next w:val="Normal"/>
    <w:semiHidden/>
    <w:rsid w:val="003D7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892"/>
    <w:rPr>
      <w:rFonts w:ascii="Wingdings" w:hAnsi="Wingdings"/>
    </w:rPr>
  </w:style>
  <w:style w:type="paragraph" w:customStyle="1" w:styleId="TableHeading">
    <w:name w:val="Table Heading"/>
    <w:basedOn w:val="HeadingBase"/>
    <w:rsid w:val="003D7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892"/>
    <w:rPr>
      <w:color w:val="0033CC"/>
      <w:u w:val="none"/>
    </w:rPr>
  </w:style>
  <w:style w:type="paragraph" w:customStyle="1" w:styleId="BodyTextRight">
    <w:name w:val="Body Text Right"/>
    <w:basedOn w:val="BodyText"/>
    <w:rsid w:val="003D7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892"/>
    <w:rPr>
      <w:sz w:val="32"/>
    </w:rPr>
  </w:style>
  <w:style w:type="paragraph" w:customStyle="1" w:styleId="HeadingProcedure">
    <w:name w:val="Heading Procedure"/>
    <w:basedOn w:val="HeadingBase"/>
    <w:next w:val="Normal"/>
    <w:rsid w:val="003D7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892"/>
    <w:pPr>
      <w:spacing w:before="60" w:after="60"/>
    </w:pPr>
  </w:style>
  <w:style w:type="paragraph" w:styleId="ListContinue">
    <w:name w:val="List Continue"/>
    <w:basedOn w:val="List"/>
    <w:rsid w:val="003D7892"/>
    <w:pPr>
      <w:ind w:firstLine="0"/>
    </w:pPr>
  </w:style>
  <w:style w:type="paragraph" w:customStyle="1" w:styleId="ListNote">
    <w:name w:val="List Note"/>
    <w:basedOn w:val="List"/>
    <w:rsid w:val="003D7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892"/>
    <w:rPr>
      <w:rFonts w:ascii="Courier New" w:hAnsi="Courier New"/>
    </w:rPr>
  </w:style>
  <w:style w:type="paragraph" w:customStyle="1" w:styleId="NoteBullet">
    <w:name w:val="Note Bullet"/>
    <w:basedOn w:val="Note"/>
    <w:rsid w:val="003D7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892"/>
    <w:rPr>
      <w:b/>
      <w:smallCaps/>
    </w:rPr>
  </w:style>
  <w:style w:type="paragraph" w:customStyle="1" w:styleId="TableListNumber">
    <w:name w:val="Table List Number"/>
    <w:basedOn w:val="ListNumber"/>
    <w:rsid w:val="003D7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892"/>
    <w:pPr>
      <w:numPr>
        <w:numId w:val="9"/>
      </w:numPr>
    </w:pPr>
  </w:style>
  <w:style w:type="paragraph" w:customStyle="1" w:styleId="ListAlpha2">
    <w:name w:val="List Alpha 2"/>
    <w:basedOn w:val="List2"/>
    <w:rsid w:val="003D7892"/>
    <w:pPr>
      <w:numPr>
        <w:numId w:val="8"/>
      </w:numPr>
    </w:pPr>
  </w:style>
  <w:style w:type="paragraph" w:styleId="List2">
    <w:name w:val="List 2"/>
    <w:basedOn w:val="BodyText"/>
    <w:rsid w:val="003D7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892"/>
    <w:pPr>
      <w:numPr>
        <w:numId w:val="4"/>
      </w:numPr>
    </w:pPr>
  </w:style>
  <w:style w:type="paragraph" w:styleId="ListContinue2">
    <w:name w:val="List Continue 2"/>
    <w:basedOn w:val="List2"/>
    <w:rsid w:val="003D7892"/>
    <w:pPr>
      <w:ind w:firstLine="0"/>
    </w:pPr>
  </w:style>
  <w:style w:type="paragraph" w:styleId="ListContinue3">
    <w:name w:val="List Continue 3"/>
    <w:basedOn w:val="List3"/>
    <w:rsid w:val="003D7892"/>
    <w:pPr>
      <w:ind w:left="1021" w:firstLine="0"/>
    </w:pPr>
  </w:style>
  <w:style w:type="paragraph" w:styleId="ListContinue4">
    <w:name w:val="List Continue 4"/>
    <w:basedOn w:val="List4"/>
    <w:rsid w:val="003D7892"/>
    <w:pPr>
      <w:ind w:firstLine="0"/>
    </w:pPr>
  </w:style>
  <w:style w:type="paragraph" w:styleId="ListContinue5">
    <w:name w:val="List Continue 5"/>
    <w:basedOn w:val="List5"/>
    <w:rsid w:val="003D7892"/>
    <w:pPr>
      <w:ind w:firstLine="0"/>
    </w:pPr>
  </w:style>
  <w:style w:type="paragraph" w:styleId="ListNumber3">
    <w:name w:val="List Number 3"/>
    <w:basedOn w:val="List3"/>
    <w:rsid w:val="003D7892"/>
    <w:pPr>
      <w:numPr>
        <w:numId w:val="5"/>
      </w:numPr>
    </w:pPr>
  </w:style>
  <w:style w:type="paragraph" w:styleId="ListNumber4">
    <w:name w:val="List Number 4"/>
    <w:basedOn w:val="List4"/>
    <w:rsid w:val="003D7892"/>
    <w:pPr>
      <w:numPr>
        <w:numId w:val="6"/>
      </w:numPr>
    </w:pPr>
  </w:style>
  <w:style w:type="paragraph" w:styleId="ListNumber5">
    <w:name w:val="List Number 5"/>
    <w:basedOn w:val="List5"/>
    <w:rsid w:val="003D7892"/>
    <w:pPr>
      <w:numPr>
        <w:numId w:val="7"/>
      </w:numPr>
    </w:pPr>
  </w:style>
  <w:style w:type="paragraph" w:styleId="BlockText">
    <w:name w:val="Block Text"/>
    <w:basedOn w:val="Normal"/>
    <w:rsid w:val="003D7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892"/>
    <w:rPr>
      <w:sz w:val="16"/>
      <w:vertAlign w:val="superscript"/>
    </w:rPr>
  </w:style>
  <w:style w:type="character" w:customStyle="1" w:styleId="Symbols">
    <w:name w:val="Symbols"/>
    <w:basedOn w:val="DefaultParagraphFont"/>
    <w:rsid w:val="003D7892"/>
    <w:rPr>
      <w:rFonts w:ascii="Symbol" w:hAnsi="Symbol"/>
    </w:rPr>
  </w:style>
  <w:style w:type="character" w:customStyle="1" w:styleId="MenuOptions">
    <w:name w:val="Menu Options"/>
    <w:basedOn w:val="DefaultParagraphFont"/>
    <w:rsid w:val="003D7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892"/>
    <w:rPr>
      <w:b/>
    </w:rPr>
  </w:style>
  <w:style w:type="character" w:customStyle="1" w:styleId="Underlined">
    <w:name w:val="Underlined"/>
    <w:basedOn w:val="DefaultParagraphFont"/>
    <w:rsid w:val="003D7892"/>
    <w:rPr>
      <w:u w:val="single"/>
    </w:rPr>
  </w:style>
  <w:style w:type="paragraph" w:customStyle="1" w:styleId="TableBodyTextRight">
    <w:name w:val="Table Body Text Right"/>
    <w:basedOn w:val="TableBodyText"/>
    <w:rsid w:val="003D7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892"/>
    <w:rPr>
      <w:sz w:val="18"/>
    </w:rPr>
  </w:style>
  <w:style w:type="paragraph" w:customStyle="1" w:styleId="BodySmallRight">
    <w:name w:val="Body Small Right"/>
    <w:basedOn w:val="BodyTextRight"/>
    <w:rsid w:val="003D7892"/>
    <w:rPr>
      <w:sz w:val="18"/>
      <w:szCs w:val="18"/>
    </w:rPr>
  </w:style>
  <w:style w:type="paragraph" w:customStyle="1" w:styleId="MarginEdition">
    <w:name w:val="Margin Edition"/>
    <w:basedOn w:val="MarginNote"/>
    <w:rsid w:val="003D7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892"/>
    <w:rPr>
      <w:sz w:val="2"/>
      <w:szCs w:val="2"/>
    </w:rPr>
  </w:style>
  <w:style w:type="character" w:customStyle="1" w:styleId="Small">
    <w:name w:val="Small"/>
    <w:basedOn w:val="DefaultParagraphFont"/>
    <w:rsid w:val="003D7892"/>
    <w:rPr>
      <w:sz w:val="16"/>
    </w:rPr>
  </w:style>
  <w:style w:type="paragraph" w:customStyle="1" w:styleId="WideTable">
    <w:name w:val="Wide Table"/>
    <w:basedOn w:val="Normal"/>
    <w:rsid w:val="003D7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892"/>
  </w:style>
  <w:style w:type="paragraph" w:styleId="Quote">
    <w:name w:val="Quote"/>
    <w:basedOn w:val="Heading1"/>
    <w:link w:val="QuoteChar"/>
    <w:qFormat/>
    <w:rsid w:val="003D7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892"/>
    <w:pPr>
      <w:pageBreakBefore/>
    </w:pPr>
  </w:style>
  <w:style w:type="paragraph" w:customStyle="1" w:styleId="Border">
    <w:name w:val="Border"/>
    <w:basedOn w:val="Normal"/>
    <w:qFormat/>
    <w:rsid w:val="003D7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892"/>
    <w:rPr>
      <w:u w:val="single"/>
    </w:rPr>
  </w:style>
  <w:style w:type="character" w:customStyle="1" w:styleId="BoldandItalics">
    <w:name w:val="Bold and Italics"/>
    <w:qFormat/>
    <w:rsid w:val="003D7892"/>
    <w:rPr>
      <w:b/>
      <w:i/>
      <w:u w:val="none"/>
    </w:rPr>
  </w:style>
  <w:style w:type="paragraph" w:styleId="BalloonText">
    <w:name w:val="Balloon Text"/>
    <w:basedOn w:val="Normal"/>
    <w:link w:val="BalloonTextChar"/>
    <w:rsid w:val="003D7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892"/>
    <w:pPr>
      <w:spacing w:before="0" w:after="0"/>
    </w:pPr>
  </w:style>
  <w:style w:type="paragraph" w:customStyle="1" w:styleId="BodyTextBold">
    <w:name w:val="Body Text Bold"/>
    <w:basedOn w:val="BodyText"/>
    <w:qFormat/>
    <w:rsid w:val="003D7892"/>
    <w:rPr>
      <w:b/>
    </w:rPr>
  </w:style>
  <w:style w:type="character" w:styleId="Hyperlink">
    <w:name w:val="Hyperlink"/>
    <w:basedOn w:val="DefaultParagraphFont"/>
    <w:uiPriority w:val="99"/>
    <w:unhideWhenUsed/>
    <w:rsid w:val="00B27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2080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FNSACC604 Monitor corporate governance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