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86D" w:rsidP="004E486D">
      <w:pPr>
        <w:pStyle w:val="Title"/>
      </w:pPr>
      <w:r>
        <w:fldChar w:fldCharType="begin"/>
      </w:r>
      <w:r>
        <w:instrText xml:space="preserve"> TITLE   \* MERGEFORMAT </w:instrText>
      </w:r>
      <w:r>
        <w:fldChar w:fldCharType="separate"/>
      </w:r>
      <w:r>
        <w:t>Assessment Requirements for FNSACC601 Prepare and administer tax documentation for legal entities</w:t>
      </w:r>
      <w:r>
        <w:fldChar w:fldCharType="end"/>
      </w:r>
    </w:p>
    <w:p w:rsidR="004E486D" w:rsidP="004E486D">
      <w:pPr>
        <w:pStyle w:val="Version"/>
        <w:sectPr w:rsidSect="00F50C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50CCA" w:rsidP="00F50CCA">
      <w:pPr>
        <w:pStyle w:val="SuperHeading"/>
      </w:pPr>
      <w:r w:rsidRPr="00F50CCA">
        <w:t>Assessment Requirements for FNSACC601 Prepare and administer tax documentation for legal entities</w:t>
      </w:r>
    </w:p>
    <w:p w:rsidR="00000000" w:rsidRPr="00F50CCA" w:rsidP="00F50CCA">
      <w:pPr>
        <w:pStyle w:val="Heading1"/>
      </w:pPr>
      <w:bookmarkStart w:id="1" w:name="O_1270029"/>
      <w:bookmarkEnd w:id="1"/>
      <w:r w:rsidRPr="00F50CCA">
        <w:t>Modification History</w:t>
      </w:r>
    </w:p>
    <w:tbl>
      <w:tblPr>
        <w:tblW w:w="0" w:type="auto"/>
        <w:tblLayout w:type="fixed"/>
        <w:tblCellMar>
          <w:left w:w="62" w:type="dxa"/>
          <w:right w:w="62" w:type="dxa"/>
        </w:tblCellMar>
        <w:tblLook w:val="0000"/>
      </w:tblPr>
      <w:tblGrid>
        <w:gridCol w:w="2627"/>
        <w:gridCol w:w="6337"/>
      </w:tblGrid>
      <w:tr w:rsidTr="00F50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CCA" w:rsidP="00F50CCA">
            <w:pPr>
              <w:pStyle w:val="BodyText"/>
            </w:pPr>
            <w:r w:rsidRPr="00F50C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CCA">
            <w:pPr>
              <w:pStyle w:val="BodyText"/>
              <w:rPr>
                <w:lang w:val="en-NZ"/>
              </w:rPr>
            </w:pPr>
            <w:r w:rsidRPr="00F50CCA">
              <w:rPr>
                <w:rStyle w:val="SpecialBold"/>
              </w:rPr>
              <w:t>Comments</w:t>
            </w:r>
          </w:p>
        </w:tc>
      </w:tr>
      <w:tr w:rsidTr="00F50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CCA">
            <w:pPr>
              <w:pStyle w:val="BodyText"/>
              <w:rPr>
                <w:lang w:val="en-NZ"/>
              </w:rPr>
            </w:pPr>
            <w:r w:rsidRPr="00F50CCA">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CCA" w:rsidP="00F50CCA">
            <w:pPr>
              <w:pStyle w:val="BodyText"/>
            </w:pPr>
            <w:r w:rsidRPr="00F50CCA">
              <w:t>This version first released with FNS Financial Services Training Package Release 8.2.</w:t>
            </w:r>
          </w:p>
          <w:p w:rsidR="00000000" w:rsidP="00F50CCA">
            <w:pPr>
              <w:pStyle w:val="BodyText"/>
              <w:rPr>
                <w:lang w:val="en-NZ"/>
              </w:rPr>
            </w:pPr>
            <w:r w:rsidRPr="00F50CCA">
              <w:t>Assessment Conditions updated.</w:t>
            </w:r>
          </w:p>
        </w:tc>
      </w:tr>
      <w:tr w:rsidTr="00F50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CCA">
            <w:pPr>
              <w:pStyle w:val="BodyText"/>
              <w:rPr>
                <w:lang w:val="en-NZ"/>
              </w:rPr>
            </w:pPr>
            <w:r w:rsidRPr="00F50CCA">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CCA" w:rsidP="00F50CCA">
            <w:pPr>
              <w:pStyle w:val="BodyText"/>
            </w:pPr>
            <w:r w:rsidRPr="00F50CCA">
              <w:t>This version first released with FNS Financial Services Training Package Release 8.1.</w:t>
            </w:r>
          </w:p>
          <w:p w:rsidR="00000000" w:rsidP="00F50CCA">
            <w:pPr>
              <w:pStyle w:val="BodyText"/>
              <w:rPr>
                <w:lang w:val="en-NZ"/>
              </w:rPr>
            </w:pPr>
            <w:r w:rsidRPr="00F50CCA">
              <w:t>Pre-requisite unit updated.</w:t>
            </w:r>
          </w:p>
        </w:tc>
      </w:tr>
      <w:tr w:rsidTr="00F50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CCA">
            <w:pPr>
              <w:pStyle w:val="BodyText"/>
              <w:rPr>
                <w:lang w:val="en-NZ"/>
              </w:rPr>
            </w:pPr>
            <w:r w:rsidRPr="00F50CC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CCA" w:rsidP="00F50CCA">
            <w:pPr>
              <w:pStyle w:val="BodyText"/>
            </w:pPr>
            <w:r w:rsidRPr="00F50CCA">
              <w:t>This version first released with FNS Financial Services Training Package Version 3.1.</w:t>
            </w:r>
          </w:p>
          <w:p w:rsidR="00000000" w:rsidRPr="00F50CCA" w:rsidP="00F50CCA">
            <w:pPr>
              <w:pStyle w:val="BodyText"/>
            </w:pPr>
            <w:r w:rsidRPr="00F50CCA">
              <w:t>Upd</w:t>
            </w:r>
            <w:r w:rsidRPr="00F50CCA">
              <w:t>ate to pre-requisite unit code</w:t>
            </w:r>
          </w:p>
        </w:tc>
      </w:tr>
    </w:tbl>
    <w:p w:rsidR="00000000" w:rsidRPr="00F50CCA" w:rsidP="00F50CCA">
      <w:pPr>
        <w:pStyle w:val="BodyText"/>
      </w:pPr>
    </w:p>
    <w:p w:rsidR="00000000" w:rsidRPr="00F50CCA" w:rsidP="00F50CCA">
      <w:pPr>
        <w:pStyle w:val="AllowPageBreak"/>
      </w:pPr>
    </w:p>
    <w:p w:rsidR="00000000" w:rsidRPr="00F50CCA" w:rsidP="00F50CCA">
      <w:pPr>
        <w:pStyle w:val="Heading1"/>
      </w:pPr>
      <w:bookmarkStart w:id="2" w:name="O_1270028"/>
      <w:bookmarkEnd w:id="2"/>
      <w:r w:rsidRPr="00F50CCA">
        <w:t>Performance Evidence</w:t>
      </w:r>
    </w:p>
    <w:p w:rsidR="00000000" w:rsidRPr="00F50CCA" w:rsidP="004E486D">
      <w:pPr>
        <w:pStyle w:val="BodyText"/>
      </w:pPr>
      <w:r w:rsidRPr="00F50CCA">
        <w:t>Evidence of the ability to:</w:t>
      </w:r>
    </w:p>
    <w:p w:rsidR="00000000" w:rsidRPr="00F50CCA" w:rsidP="00F50CCA">
      <w:pPr>
        <w:pStyle w:val="ListBullet"/>
      </w:pPr>
      <w:r w:rsidRPr="00F50CCA">
        <w:t>research and critically evaluate new or changed legislative requirements and apply where relevant to the preparation of the client</w:t>
      </w:r>
      <w:r>
        <w:t>’</w:t>
      </w:r>
      <w:r w:rsidRPr="00F50CCA">
        <w:t>s tax documentation</w:t>
      </w:r>
    </w:p>
    <w:p w:rsidR="00000000" w:rsidRPr="00F50CCA" w:rsidP="00F50CCA">
      <w:pPr>
        <w:pStyle w:val="ListBullet"/>
      </w:pPr>
      <w:r w:rsidRPr="00F50CCA">
        <w:t>provide taxation advice to clients in line with individual requirements</w:t>
      </w:r>
    </w:p>
    <w:p w:rsidR="00000000" w:rsidRPr="00F50CCA" w:rsidP="00F50CCA">
      <w:pPr>
        <w:pStyle w:val="ListBullet"/>
      </w:pPr>
      <w:r w:rsidRPr="00F50CCA">
        <w:t xml:space="preserve">identify legal entity tax data required to calculate taxable income </w:t>
      </w:r>
    </w:p>
    <w:p w:rsidR="00000000" w:rsidRPr="00F50CCA" w:rsidP="00F50CCA">
      <w:pPr>
        <w:pStyle w:val="ListBullet"/>
      </w:pPr>
      <w:r w:rsidRPr="00F50CCA">
        <w:t>prepare tax documentation for legal entities that complies with:</w:t>
      </w:r>
    </w:p>
    <w:p w:rsidR="00000000" w:rsidRPr="00F50CCA" w:rsidP="00F50CCA">
      <w:pPr>
        <w:pStyle w:val="ListBullet2"/>
      </w:pPr>
      <w:r w:rsidRPr="00F50CCA">
        <w:t>Australian taxation law and Australian Taxation O</w:t>
      </w:r>
      <w:r w:rsidRPr="00F50CCA">
        <w:t>ffice (ATO) rulings and lodgement schedules</w:t>
      </w:r>
    </w:p>
    <w:p w:rsidR="00000000" w:rsidRPr="00F50CCA" w:rsidP="00F50CCA">
      <w:pPr>
        <w:pStyle w:val="ListBullet2"/>
      </w:pPr>
      <w:r w:rsidRPr="00F50CCA">
        <w:t xml:space="preserve">accounting principles and practices </w:t>
      </w:r>
    </w:p>
    <w:p w:rsidR="00000000" w:rsidRPr="00F50CCA" w:rsidP="00F50CCA">
      <w:pPr>
        <w:pStyle w:val="ListBullet2"/>
      </w:pPr>
      <w:r w:rsidRPr="00F50CCA">
        <w:t xml:space="preserve">organisational policy and procedures </w:t>
      </w:r>
    </w:p>
    <w:p w:rsidR="00000000" w:rsidRPr="00F50CCA" w:rsidP="00F50CCA">
      <w:pPr>
        <w:pStyle w:val="ListBullet"/>
      </w:pPr>
      <w:r w:rsidRPr="00F50CCA">
        <w:t>present tax documentation to the client for verification and approval.</w:t>
      </w:r>
    </w:p>
    <w:p w:rsidR="00000000" w:rsidRPr="00F50CCA" w:rsidP="00F50CCA">
      <w:pPr>
        <w:pStyle w:val="BodyText"/>
      </w:pPr>
    </w:p>
    <w:p w:rsidR="00000000" w:rsidRPr="00F50CCA" w:rsidP="004E486D">
      <w:pPr>
        <w:pStyle w:val="BodyText"/>
      </w:pPr>
      <w:r w:rsidRPr="00F50CCA">
        <w:t>Note: If a specific volume or frequency is not stated, then evid</w:t>
      </w:r>
      <w:r w:rsidRPr="00F50CCA">
        <w:t>ence must be provided at least once.</w:t>
      </w:r>
    </w:p>
    <w:p w:rsidR="00000000" w:rsidRPr="00F50CCA" w:rsidP="00F50CCA">
      <w:pPr>
        <w:pStyle w:val="Heading1"/>
      </w:pPr>
      <w:bookmarkStart w:id="3" w:name="O_1270027"/>
      <w:bookmarkEnd w:id="3"/>
      <w:r w:rsidRPr="00F50CCA">
        <w:t>Knowledge Evidence</w:t>
      </w:r>
    </w:p>
    <w:p w:rsidR="00000000" w:rsidRPr="00F50CCA" w:rsidP="004E486D">
      <w:pPr>
        <w:pStyle w:val="BodyText"/>
      </w:pPr>
      <w:r w:rsidRPr="00F50CCA">
        <w:t xml:space="preserve">To complete the unit requirements safely and effectively, the individual must: </w:t>
      </w:r>
    </w:p>
    <w:p w:rsidR="00000000" w:rsidRPr="00F50CCA" w:rsidP="00F50CCA">
      <w:pPr>
        <w:pStyle w:val="ListBullet"/>
      </w:pPr>
      <w:r w:rsidRPr="00F50CCA">
        <w:t>identify and explain ethical considerations and legislative requirements relevant to the preparation</w:t>
      </w:r>
      <w:r w:rsidRPr="00F50CCA">
        <w:t xml:space="preserve"> of tax documentation for legal entities, including:</w:t>
      </w:r>
    </w:p>
    <w:p w:rsidR="00000000" w:rsidRPr="00F50CCA" w:rsidP="00F50CCA">
      <w:pPr>
        <w:pStyle w:val="ListBullet2"/>
      </w:pPr>
      <w:r w:rsidRPr="00F50CCA">
        <w:t>conflict of interest</w:t>
      </w:r>
    </w:p>
    <w:p w:rsidR="00000000" w:rsidRPr="00F50CCA" w:rsidP="00F50CCA">
      <w:pPr>
        <w:pStyle w:val="ListBullet2"/>
      </w:pPr>
      <w:r w:rsidRPr="00F50CCA">
        <w:t>responsibilities of tax agents including Code of Professional Conduct obligations under the Tax Agent Services Act (TASA) and Tax Agent Services Regulations (TASR)</w:t>
      </w:r>
    </w:p>
    <w:p w:rsidR="00000000" w:rsidRPr="00F50CCA" w:rsidP="00F50CCA">
      <w:pPr>
        <w:pStyle w:val="ListBullet2"/>
      </w:pPr>
      <w:r w:rsidRPr="00F50CCA">
        <w:t>government tax policy documents issued by Reviews, Treasury and Board of Taxation</w:t>
      </w:r>
    </w:p>
    <w:p w:rsidR="00000000" w:rsidRPr="00F50CCA" w:rsidP="00F50CCA">
      <w:pPr>
        <w:pStyle w:val="ListBullet2"/>
      </w:pPr>
      <w:r w:rsidRPr="00F50CCA">
        <w:t>explanatory materials in relation to legislation</w:t>
      </w:r>
    </w:p>
    <w:p w:rsidR="00000000" w:rsidRPr="00F50CCA" w:rsidP="00F50CCA">
      <w:pPr>
        <w:pStyle w:val="ListBullet2"/>
      </w:pPr>
      <w:r w:rsidRPr="00F50CCA">
        <w:t>statutes</w:t>
      </w:r>
    </w:p>
    <w:p w:rsidR="00000000" w:rsidRPr="00F50CCA" w:rsidP="00F50CCA">
      <w:pPr>
        <w:pStyle w:val="ListBullet2"/>
      </w:pPr>
      <w:r w:rsidRPr="00F50CCA">
        <w:t>court and Administrative Appeals Tribunal decisions</w:t>
      </w:r>
    </w:p>
    <w:p w:rsidR="00000000" w:rsidRPr="00F50CCA" w:rsidP="00F50CCA">
      <w:pPr>
        <w:pStyle w:val="ListBullet2"/>
      </w:pPr>
      <w:r w:rsidRPr="00F50CCA">
        <w:t>Commissioner of Taxation</w:t>
      </w:r>
      <w:r>
        <w:t>’</w:t>
      </w:r>
      <w:r w:rsidRPr="00F50CCA">
        <w:t xml:space="preserve">s interpretive guidance in Rulings and </w:t>
      </w:r>
      <w:r w:rsidRPr="00F50CCA">
        <w:t>Determinations</w:t>
      </w:r>
    </w:p>
    <w:p w:rsidR="00000000" w:rsidRPr="00F50CCA" w:rsidP="00F50CCA">
      <w:pPr>
        <w:pStyle w:val="ListBullet"/>
      </w:pPr>
      <w:r w:rsidRPr="00F50CCA">
        <w:t>explain critical and key elements of Australian tax law as it relates to tax documentation for legal entities such as companies, trusts, partnerships and sole traders including:</w:t>
      </w:r>
    </w:p>
    <w:p w:rsidR="00000000" w:rsidRPr="00F50CCA" w:rsidP="00F50CCA">
      <w:pPr>
        <w:pStyle w:val="ListBullet2"/>
      </w:pPr>
      <w:r w:rsidRPr="00F50CCA">
        <w:t>the rules and principles of Australian tax law, with an under</w:t>
      </w:r>
      <w:r w:rsidRPr="00F50CCA">
        <w:t>standing of the legal environment in which these principles operate, basics of the legal system, constitutional considerations and separation of powers</w:t>
      </w:r>
    </w:p>
    <w:p w:rsidR="00000000" w:rsidRPr="00F50CCA" w:rsidP="00F50CCA">
      <w:pPr>
        <w:pStyle w:val="ListBullet2"/>
      </w:pPr>
      <w:r w:rsidRPr="00F50CCA">
        <w:t>the key aspects of income tax law covering concepts of residence and source, related elements of interna</w:t>
      </w:r>
      <w:r w:rsidRPr="00F50CCA">
        <w:t>tional tax, assessable income, deductions, tax rebates and offsets, and tax accounting</w:t>
      </w:r>
    </w:p>
    <w:p w:rsidR="00000000" w:rsidRPr="00F50CCA" w:rsidP="00F50CCA">
      <w:pPr>
        <w:pStyle w:val="ListBullet2"/>
      </w:pPr>
      <w:r w:rsidRPr="00F50CCA">
        <w:t>the key aspects of taxes that extend the ordinary income tax base, including relevant principles and application of the capital gains tax (CGT) and fringe benefits tax (</w:t>
      </w:r>
      <w:r w:rsidRPr="00F50CCA">
        <w:t>FBT) rules</w:t>
      </w:r>
    </w:p>
    <w:p w:rsidR="00000000" w:rsidRPr="00F50CCA" w:rsidP="00F50CCA">
      <w:pPr>
        <w:pStyle w:val="ListBullet2"/>
      </w:pPr>
      <w:r w:rsidRPr="00F50CCA">
        <w:t>goods and services tax (GST)</w:t>
      </w:r>
    </w:p>
    <w:p w:rsidR="00000000" w:rsidRPr="00F50CCA" w:rsidP="00F50CCA">
      <w:pPr>
        <w:pStyle w:val="ListBullet2"/>
      </w:pPr>
      <w:r w:rsidRPr="00F50CCA">
        <w:t>taxation aspects of superannuation law</w:t>
      </w:r>
    </w:p>
    <w:p w:rsidR="00000000" w:rsidRPr="00F50CCA" w:rsidP="00F50CCA">
      <w:pPr>
        <w:pStyle w:val="ListBullet2"/>
      </w:pPr>
      <w:r w:rsidRPr="00F50CCA">
        <w:t>administrative aspects of the taxes identified above including documentation, tax collection and withholding mechanisms, assessments, obligations, rulings, penalties and audits</w:t>
      </w:r>
    </w:p>
    <w:p w:rsidR="00000000" w:rsidRPr="00F50CCA" w:rsidP="00F50CCA">
      <w:pPr>
        <w:pStyle w:val="ListBullet2"/>
      </w:pPr>
      <w:r w:rsidRPr="00F50CCA">
        <w:t>specific and general anti-avoidance tax rules</w:t>
      </w:r>
    </w:p>
    <w:p w:rsidR="00000000" w:rsidRPr="00F50CCA" w:rsidP="00F50CCA">
      <w:pPr>
        <w:pStyle w:val="ListBullet"/>
      </w:pPr>
      <w:r w:rsidRPr="00F50CCA">
        <w:t>describe the key sources of information and taxable transactions data required to calculate taxable income, including:</w:t>
      </w:r>
    </w:p>
    <w:p w:rsidR="00000000" w:rsidRPr="00F50CCA" w:rsidP="00F50CCA">
      <w:pPr>
        <w:pStyle w:val="ListBullet2"/>
      </w:pPr>
      <w:r w:rsidRPr="00F50CCA">
        <w:t>allowable deductions</w:t>
      </w:r>
    </w:p>
    <w:p w:rsidR="00000000" w:rsidRPr="00F50CCA" w:rsidP="00F50CCA">
      <w:pPr>
        <w:pStyle w:val="ListBullet2"/>
      </w:pPr>
      <w:r w:rsidRPr="00F50CCA">
        <w:t>capital gains</w:t>
      </w:r>
    </w:p>
    <w:p w:rsidR="00000000" w:rsidRPr="00F50CCA" w:rsidP="00F50CCA">
      <w:pPr>
        <w:pStyle w:val="ListBullet2"/>
      </w:pPr>
      <w:r w:rsidRPr="00F50CCA">
        <w:t>financial adjustments such as write-offs and revaluations</w:t>
      </w:r>
    </w:p>
    <w:p w:rsidR="00000000" w:rsidRPr="00F50CCA" w:rsidP="00F50CCA">
      <w:pPr>
        <w:pStyle w:val="ListBullet2"/>
      </w:pPr>
      <w:r w:rsidRPr="00F50CCA">
        <w:t>income</w:t>
      </w:r>
    </w:p>
    <w:p w:rsidR="00000000" w:rsidRPr="00F50CCA" w:rsidP="00F50CCA">
      <w:pPr>
        <w:pStyle w:val="ListBullet2"/>
      </w:pPr>
      <w:r w:rsidRPr="00F50CCA">
        <w:t>payments</w:t>
      </w:r>
    </w:p>
    <w:p w:rsidR="00000000" w:rsidRPr="00F50CCA" w:rsidP="00F50CCA">
      <w:pPr>
        <w:pStyle w:val="ListBullet2"/>
      </w:pPr>
      <w:r w:rsidRPr="00F50CCA">
        <w:t>purchases</w:t>
      </w:r>
    </w:p>
    <w:p w:rsidR="00000000" w:rsidRPr="00F50CCA" w:rsidP="00F50CCA">
      <w:pPr>
        <w:pStyle w:val="ListBullet2"/>
      </w:pPr>
      <w:r w:rsidRPr="00F50CCA">
        <w:t>superannuation payments</w:t>
      </w:r>
    </w:p>
    <w:p w:rsidR="00000000" w:rsidRPr="00F50CCA" w:rsidP="00F50CCA">
      <w:pPr>
        <w:pStyle w:val="ListBullet"/>
      </w:pPr>
      <w:r w:rsidRPr="00F50CCA">
        <w:t>describe the key features of organisational policy and procedures relating to the preparation of tax documentation for legal entities</w:t>
      </w:r>
    </w:p>
    <w:p w:rsidR="00000000" w:rsidRPr="00F50CCA" w:rsidP="00F50CCA">
      <w:pPr>
        <w:pStyle w:val="ListBullet"/>
      </w:pPr>
      <w:r w:rsidRPr="00F50CCA">
        <w:t>outline the k</w:t>
      </w:r>
      <w:r w:rsidRPr="00F50CCA">
        <w:t>ey accounting principles and practices relevant to the preparation of tax documentation for the different types of legal entities.</w:t>
      </w:r>
    </w:p>
    <w:p w:rsidR="00000000" w:rsidRPr="00F50CCA" w:rsidP="00F50CCA">
      <w:pPr>
        <w:pStyle w:val="AllowPageBreak"/>
      </w:pPr>
    </w:p>
    <w:p w:rsidR="00000000" w:rsidRPr="00F50CCA" w:rsidP="00F50CCA">
      <w:pPr>
        <w:pStyle w:val="Heading1"/>
      </w:pPr>
      <w:bookmarkStart w:id="4" w:name="O_1270026"/>
      <w:bookmarkEnd w:id="4"/>
      <w:r w:rsidRPr="00F50CCA">
        <w:t>Assessment Conditions</w:t>
      </w:r>
    </w:p>
    <w:p w:rsidR="00000000" w:rsidRPr="00F50CCA" w:rsidP="004E486D">
      <w:pPr>
        <w:pStyle w:val="BodyText"/>
      </w:pPr>
      <w:r w:rsidRPr="00F50CCA">
        <w:t>Assessment must be conducted in a safe environment where evidence gathered demonstra</w:t>
      </w:r>
      <w:r w:rsidRPr="00F50CCA">
        <w:t>tes consistent performance of typical activities experienced in the accounting field of work and include access to:</w:t>
      </w:r>
    </w:p>
    <w:p w:rsidR="00000000" w:rsidRPr="00F50CCA" w:rsidP="00F50CCA">
      <w:pPr>
        <w:pStyle w:val="ListBullet"/>
      </w:pPr>
      <w:r w:rsidRPr="00F50CCA">
        <w:t>common office equipment, technology, software and consumables</w:t>
      </w:r>
    </w:p>
    <w:p w:rsidR="00000000" w:rsidRPr="00F50CCA" w:rsidP="00F50CCA">
      <w:pPr>
        <w:pStyle w:val="ListBullet"/>
      </w:pPr>
      <w:r w:rsidRPr="00F50CCA">
        <w:t>an integrated financial software system and data.</w:t>
      </w:r>
    </w:p>
    <w:p w:rsidR="00000000" w:rsidRPr="00F50CCA" w:rsidP="00F50CCA">
      <w:pPr>
        <w:pStyle w:val="BodyText"/>
      </w:pPr>
    </w:p>
    <w:p w:rsidR="00000000" w:rsidRPr="00F50CCA" w:rsidP="004E486D">
      <w:pPr>
        <w:pStyle w:val="BodyText"/>
      </w:pPr>
      <w:r w:rsidRPr="00F50CCA">
        <w:t>Assessors must satisfy NVR/AQTF assessor requirements.</w:t>
      </w:r>
    </w:p>
    <w:p w:rsidR="00000000" w:rsidRPr="00F50CCA" w:rsidP="004E486D">
      <w:pPr>
        <w:pStyle w:val="BodyText"/>
      </w:pPr>
      <w:r w:rsidRPr="00F50CCA">
        <w:t>Note: The identification of the unit FNSACC522 Prepare tax documentation for individuals as a prerequisite does not require that it be certificated prior to this unit. This unit and its prerequisite m</w:t>
      </w:r>
      <w:r w:rsidRPr="00F50CCA">
        <w:t>ay be delivered and assessed together.</w:t>
      </w:r>
    </w:p>
    <w:p w:rsidR="00000000" w:rsidRPr="00F50CCA" w:rsidP="004E486D">
      <w:pPr>
        <w:pStyle w:val="BodyText"/>
      </w:pPr>
      <w:r w:rsidRPr="00F50CCA">
        <w:t xml:space="preserve">This unit is designed to meet regulatory requirements of the Tax Practitioner Board (TPB). Where registration with the TPB is sought, assessment must reflect the conditions described by the regulator which stipulate </w:t>
      </w:r>
      <w:r w:rsidRPr="00F50CCA">
        <w:t>that a significant amount (at least 40%) must be completed under some form of independent supervision. Where recognition of prior learning (RPL) is used, it must also meet the requirements of the Board’s policy on RPL.</w:t>
      </w:r>
    </w:p>
    <w:p w:rsidR="00000000" w:rsidRPr="00F50CCA" w:rsidP="004E486D">
      <w:pPr>
        <w:pStyle w:val="BodyText"/>
      </w:pPr>
      <w:r w:rsidRPr="00F50CCA">
        <w:t>Details of requirements can be access</w:t>
      </w:r>
      <w:r w:rsidRPr="00F50CCA">
        <w:t xml:space="preserve">ed on the TPB website at: </w:t>
      </w:r>
      <w:r>
        <w:fldChar w:fldCharType="begin"/>
      </w:r>
      <w:r>
        <w:instrText xml:space="preserve"> HYPERLINK "http://www.tpb.gov.au" </w:instrText>
      </w:r>
      <w:r>
        <w:fldChar w:fldCharType="separate"/>
      </w:r>
      <w:r w:rsidRPr="001D6ACE">
        <w:rPr>
          <w:rStyle w:val="Hyperlink"/>
        </w:rPr>
        <w:t>http://www.tpb.gov.au</w:t>
      </w:r>
      <w:r>
        <w:fldChar w:fldCharType="end"/>
      </w:r>
    </w:p>
    <w:p w:rsidR="00000000" w:rsidRPr="00F50CCA" w:rsidP="00F50CCA">
      <w:pPr>
        <w:pStyle w:val="Heading1"/>
      </w:pPr>
      <w:bookmarkStart w:id="5" w:name="O_1270039"/>
      <w:bookmarkEnd w:id="5"/>
      <w:r w:rsidRPr="00F50CCA">
        <w:t>Links</w:t>
      </w:r>
    </w:p>
    <w:p w:rsidR="00000000" w:rsidRPr="00F50CCA" w:rsidP="004E486D">
      <w:pPr>
        <w:pStyle w:val="BodyText"/>
      </w:pPr>
      <w:r w:rsidRPr="00F50CC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D6ACE">
        <w:rPr>
          <w:rStyle w:val="Hyperlink"/>
        </w:rPr>
        <w:t>https://vetnet.gov.au/Pages/TrainingDocs.aspx?q=c7200cc8-0566-4f04-b76f-e89fd6f102fe</w:t>
      </w:r>
      <w:r>
        <w:fldChar w:fldCharType="end"/>
      </w:r>
    </w:p>
    <w:p w:rsidR="00000000" w:rsidRPr="00F50CCA" w:rsidP="00F50CCA"/>
    <w:sectPr w:rsidSect="00F50C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CA" w:rsidRPr="004E486D" w:rsidP="004E4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D" w:rsidP="00F50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86D" w:rsidP="00F50C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486D" w:rsidP="00F50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CCA" w:rsidRPr="004E486D" w:rsidP="004E4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D" w:rsidRPr="002D2AF8" w:rsidP="00F50CCA">
    <w:pPr>
      <w:pStyle w:val="Header"/>
      <w:framePr w:wrap="around"/>
    </w:pPr>
    <w:r>
      <w:fldChar w:fldCharType="begin"/>
    </w:r>
    <w:r>
      <w:instrText xml:space="preserve"> TITLE   \* MERGEFORMAT </w:instrText>
    </w:r>
    <w:r>
      <w:fldChar w:fldCharType="separate"/>
    </w:r>
    <w:r>
      <w:t>Assessment Requirements for FNSACC601 Prepare and administer tax documentation for legal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E486D" w:rsidP="00F50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0D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23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09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CCA"/>
    <w:pPr>
      <w:spacing w:before="360" w:after="60"/>
      <w:outlineLvl w:val="0"/>
    </w:pPr>
    <w:rPr>
      <w:sz w:val="32"/>
    </w:rPr>
  </w:style>
  <w:style w:type="paragraph" w:styleId="Heading2">
    <w:name w:val="heading 2"/>
    <w:basedOn w:val="HeadingBase"/>
    <w:next w:val="BodyText"/>
    <w:link w:val="Heading2Char"/>
    <w:qFormat/>
    <w:rsid w:val="00F50CCA"/>
    <w:pPr>
      <w:keepLines/>
      <w:spacing w:before="240" w:after="120"/>
      <w:outlineLvl w:val="1"/>
    </w:pPr>
    <w:rPr>
      <w:sz w:val="28"/>
      <w:szCs w:val="40"/>
    </w:rPr>
  </w:style>
  <w:style w:type="paragraph" w:styleId="Heading3">
    <w:name w:val="heading 3"/>
    <w:basedOn w:val="HeadingBase"/>
    <w:next w:val="BodyText"/>
    <w:link w:val="Heading3Char"/>
    <w:qFormat/>
    <w:rsid w:val="00F50CCA"/>
    <w:pPr>
      <w:spacing w:before="180" w:after="120"/>
      <w:outlineLvl w:val="2"/>
    </w:pPr>
    <w:rPr>
      <w:spacing w:val="-10"/>
      <w:kern w:val="32"/>
    </w:rPr>
  </w:style>
  <w:style w:type="paragraph" w:styleId="Heading4">
    <w:name w:val="heading 4"/>
    <w:basedOn w:val="HeadingBase"/>
    <w:next w:val="BodyText"/>
    <w:link w:val="Heading4Char"/>
    <w:qFormat/>
    <w:rsid w:val="00F50CCA"/>
    <w:pPr>
      <w:spacing w:before="160" w:after="120"/>
      <w:outlineLvl w:val="3"/>
    </w:pPr>
    <w:rPr>
      <w:sz w:val="22"/>
    </w:rPr>
  </w:style>
  <w:style w:type="paragraph" w:styleId="Heading5">
    <w:name w:val="heading 5"/>
    <w:basedOn w:val="HeadingBase"/>
    <w:next w:val="Normal"/>
    <w:link w:val="Heading5Char"/>
    <w:qFormat/>
    <w:rsid w:val="00F50CCA"/>
    <w:pPr>
      <w:spacing w:before="80"/>
      <w:outlineLvl w:val="4"/>
    </w:pPr>
    <w:rPr>
      <w:color w:val="918585"/>
      <w:sz w:val="20"/>
    </w:rPr>
  </w:style>
  <w:style w:type="paragraph" w:styleId="Heading6">
    <w:name w:val="heading 6"/>
    <w:basedOn w:val="HeadingBase"/>
    <w:next w:val="Normal"/>
    <w:link w:val="Heading6Char"/>
    <w:qFormat/>
    <w:rsid w:val="00F50CCA"/>
    <w:pPr>
      <w:spacing w:before="60"/>
      <w:outlineLvl w:val="5"/>
    </w:pPr>
    <w:rPr>
      <w:color w:val="918585"/>
      <w:sz w:val="20"/>
    </w:rPr>
  </w:style>
  <w:style w:type="paragraph" w:styleId="Heading7">
    <w:name w:val="heading 7"/>
    <w:basedOn w:val="Normal"/>
    <w:next w:val="Normal"/>
    <w:link w:val="Heading7Char"/>
    <w:qFormat/>
    <w:rsid w:val="00F50CCA"/>
    <w:pPr>
      <w:ind w:left="720"/>
      <w:outlineLvl w:val="6"/>
    </w:pPr>
    <w:rPr>
      <w:i/>
    </w:rPr>
  </w:style>
  <w:style w:type="paragraph" w:styleId="Heading8">
    <w:name w:val="heading 8"/>
    <w:basedOn w:val="Normal"/>
    <w:next w:val="Normal"/>
    <w:link w:val="Heading8Char"/>
    <w:qFormat/>
    <w:rsid w:val="00F50CCA"/>
    <w:pPr>
      <w:ind w:left="720"/>
      <w:outlineLvl w:val="7"/>
    </w:pPr>
    <w:rPr>
      <w:i/>
    </w:rPr>
  </w:style>
  <w:style w:type="paragraph" w:styleId="Heading9">
    <w:name w:val="heading 9"/>
    <w:basedOn w:val="Normal"/>
    <w:next w:val="Normal"/>
    <w:link w:val="Heading9Char"/>
    <w:qFormat/>
    <w:rsid w:val="00F50CCA"/>
    <w:pPr>
      <w:ind w:left="720"/>
      <w:outlineLvl w:val="8"/>
    </w:pPr>
    <w:rPr>
      <w:i/>
    </w:rPr>
  </w:style>
  <w:style w:type="character" w:default="1" w:styleId="DefaultParagraphFont">
    <w:name w:val="Default Paragraph Font"/>
    <w:uiPriority w:val="1"/>
    <w:unhideWhenUsed/>
    <w:rsid w:val="00F50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CCA"/>
  </w:style>
  <w:style w:type="character" w:customStyle="1" w:styleId="Heading1Char">
    <w:name w:val="Heading 1 Char"/>
    <w:basedOn w:val="DefaultParagraphFont"/>
    <w:link w:val="Heading1"/>
    <w:rsid w:val="00F50CCA"/>
    <w:rPr>
      <w:rFonts w:ascii="Times New Roman" w:eastAsia="Times New Roman" w:hAnsi="Times New Roman" w:cs="Times New Roman"/>
      <w:b/>
      <w:sz w:val="32"/>
      <w:szCs w:val="20"/>
      <w:lang w:eastAsia="en-US"/>
    </w:rPr>
  </w:style>
  <w:style w:type="paragraph" w:styleId="BodyText">
    <w:name w:val="Body Text"/>
    <w:basedOn w:val="Normal"/>
    <w:link w:val="BodyTextChar"/>
    <w:rsid w:val="00F50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CCA"/>
    <w:rPr>
      <w:rFonts w:ascii="Times New Roman" w:eastAsia="Times New Roman" w:hAnsi="Times New Roman" w:cs="Times New Roman"/>
      <w:sz w:val="24"/>
      <w:lang w:eastAsia="en-US"/>
    </w:rPr>
  </w:style>
  <w:style w:type="paragraph" w:styleId="ListBullet">
    <w:name w:val="List Bullet"/>
    <w:basedOn w:val="List"/>
    <w:rsid w:val="00F50CCA"/>
    <w:pPr>
      <w:numPr>
        <w:numId w:val="12"/>
      </w:numPr>
      <w:tabs>
        <w:tab w:val="clear" w:pos="340"/>
      </w:tabs>
      <w:spacing w:before="40" w:after="40"/>
    </w:pPr>
  </w:style>
  <w:style w:type="character" w:customStyle="1" w:styleId="SpecialBold">
    <w:name w:val="Special Bold"/>
    <w:basedOn w:val="DefaultParagraphFont"/>
    <w:rsid w:val="00F50CCA"/>
    <w:rPr>
      <w:b/>
      <w:spacing w:val="0"/>
    </w:rPr>
  </w:style>
  <w:style w:type="paragraph" w:styleId="ListBullet2">
    <w:name w:val="List Bullet 2"/>
    <w:basedOn w:val="List2"/>
    <w:rsid w:val="00F50CCA"/>
    <w:pPr>
      <w:numPr>
        <w:numId w:val="13"/>
      </w:numPr>
      <w:tabs>
        <w:tab w:val="clear" w:pos="680"/>
      </w:tabs>
    </w:pPr>
  </w:style>
  <w:style w:type="character" w:styleId="Emphasis">
    <w:name w:val="Emphasis"/>
    <w:basedOn w:val="DefaultParagraphFont"/>
    <w:qFormat/>
    <w:rsid w:val="00F50CCA"/>
    <w:rPr>
      <w:i/>
    </w:rPr>
  </w:style>
  <w:style w:type="paragraph" w:customStyle="1" w:styleId="SuperHeading">
    <w:name w:val="SuperHeading"/>
    <w:basedOn w:val="Normal"/>
    <w:rsid w:val="00F50CCA"/>
    <w:pPr>
      <w:spacing w:before="240" w:after="120"/>
      <w:outlineLvl w:val="0"/>
    </w:pPr>
    <w:rPr>
      <w:rFonts w:ascii="Times New Roman" w:hAnsi="Times New Roman"/>
      <w:b/>
      <w:sz w:val="32"/>
    </w:rPr>
  </w:style>
  <w:style w:type="paragraph" w:customStyle="1" w:styleId="AllowPageBreak">
    <w:name w:val="AllowPageBreak"/>
    <w:rsid w:val="00F50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CCA"/>
    <w:rPr>
      <w:rFonts w:ascii="Courier New" w:eastAsia="Times New Roman" w:hAnsi="Courier New" w:cs="Times New Roman"/>
      <w:i/>
      <w:szCs w:val="20"/>
      <w:lang w:eastAsia="en-US"/>
    </w:rPr>
  </w:style>
  <w:style w:type="paragraph" w:customStyle="1" w:styleId="HeadingBase">
    <w:name w:val="Heading Base"/>
    <w:rsid w:val="00F50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CCA"/>
    <w:pPr>
      <w:tabs>
        <w:tab w:val="right" w:leader="dot" w:pos="9072"/>
      </w:tabs>
      <w:ind w:left="567"/>
    </w:pPr>
    <w:rPr>
      <w:szCs w:val="22"/>
    </w:rPr>
  </w:style>
  <w:style w:type="paragraph" w:customStyle="1" w:styleId="TOCBase">
    <w:name w:val="TOC Base"/>
    <w:rsid w:val="00F50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CCA"/>
    <w:pPr>
      <w:tabs>
        <w:tab w:val="right" w:leader="dot" w:pos="9072"/>
      </w:tabs>
      <w:spacing w:before="40" w:after="40"/>
      <w:ind w:left="284"/>
    </w:pPr>
    <w:rPr>
      <w:rFonts w:ascii="Times New Roman" w:hAnsi="Times New Roman"/>
    </w:rPr>
  </w:style>
  <w:style w:type="paragraph" w:styleId="TOC1">
    <w:name w:val="toc 1"/>
    <w:basedOn w:val="TOCBase"/>
    <w:next w:val="Normal"/>
    <w:rsid w:val="00F50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CCA"/>
    <w:rPr>
      <w:rFonts w:ascii="Times New Roman" w:eastAsia="Times New Roman" w:hAnsi="Times New Roman" w:cs="Times New Roman"/>
      <w:sz w:val="16"/>
      <w:lang w:eastAsia="en-US"/>
    </w:rPr>
  </w:style>
  <w:style w:type="paragraph" w:styleId="Title">
    <w:name w:val="Title"/>
    <w:basedOn w:val="HeadingBase"/>
    <w:link w:val="TitleChar"/>
    <w:qFormat/>
    <w:rsid w:val="00F50CCA"/>
    <w:pPr>
      <w:spacing w:before="5040"/>
      <w:jc w:val="center"/>
    </w:pPr>
    <w:rPr>
      <w:sz w:val="48"/>
      <w:szCs w:val="72"/>
      <w:lang w:val="en-US"/>
    </w:rPr>
  </w:style>
  <w:style w:type="character" w:customStyle="1" w:styleId="TitleChar">
    <w:name w:val="Title Char"/>
    <w:basedOn w:val="DefaultParagraphFont"/>
    <w:link w:val="Title"/>
    <w:rsid w:val="00F50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CCA"/>
    <w:pPr>
      <w:tabs>
        <w:tab w:val="left" w:pos="3600"/>
        <w:tab w:val="left" w:pos="3958"/>
      </w:tabs>
    </w:pPr>
  </w:style>
  <w:style w:type="paragraph" w:styleId="List">
    <w:name w:val="List"/>
    <w:basedOn w:val="BodyText"/>
    <w:next w:val="BodyText"/>
    <w:rsid w:val="00F50CCA"/>
    <w:pPr>
      <w:tabs>
        <w:tab w:val="left" w:pos="340"/>
      </w:tabs>
      <w:spacing w:before="60" w:after="60"/>
      <w:ind w:left="340" w:hanging="340"/>
    </w:pPr>
  </w:style>
  <w:style w:type="paragraph" w:customStyle="1" w:styleId="Note">
    <w:name w:val="Note"/>
    <w:basedOn w:val="BodyText"/>
    <w:rsid w:val="00F50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CCA"/>
    <w:pPr>
      <w:framePr w:wrap="auto" w:hAnchor="text" w:y="6049"/>
    </w:pPr>
    <w:rPr>
      <w:color w:val="000000"/>
      <w:sz w:val="40"/>
    </w:rPr>
  </w:style>
  <w:style w:type="paragraph" w:customStyle="1" w:styleId="TOCTitle">
    <w:name w:val="TOCTitle"/>
    <w:basedOn w:val="Heading1"/>
    <w:rsid w:val="00F50CCA"/>
    <w:pPr>
      <w:spacing w:after="240"/>
      <w:jc w:val="center"/>
      <w:outlineLvl w:val="9"/>
    </w:pPr>
    <w:rPr>
      <w:caps/>
    </w:rPr>
  </w:style>
  <w:style w:type="paragraph" w:customStyle="1" w:styleId="Version">
    <w:name w:val="Version"/>
    <w:rsid w:val="00F50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CCA"/>
    <w:pPr>
      <w:keepNext w:val="0"/>
      <w:tabs>
        <w:tab w:val="right" w:pos="4176"/>
      </w:tabs>
      <w:ind w:left="198" w:hanging="198"/>
    </w:pPr>
    <w:rPr>
      <w:rFonts w:ascii="Garamond" w:hAnsi="Garamond"/>
    </w:rPr>
  </w:style>
  <w:style w:type="paragraph" w:styleId="IndexHeading">
    <w:name w:val="index heading"/>
    <w:basedOn w:val="Normal"/>
    <w:next w:val="Index1"/>
    <w:semiHidden/>
    <w:rsid w:val="00F50CCA"/>
    <w:pPr>
      <w:spacing w:before="120" w:after="120"/>
    </w:pPr>
    <w:rPr>
      <w:rFonts w:ascii="Arial" w:hAnsi="Arial"/>
      <w:b/>
      <w:color w:val="918585"/>
      <w:sz w:val="24"/>
    </w:rPr>
  </w:style>
  <w:style w:type="paragraph" w:styleId="Header">
    <w:name w:val="header"/>
    <w:basedOn w:val="Normal"/>
    <w:link w:val="HeaderChar"/>
    <w:rsid w:val="00F50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CCA"/>
    <w:rPr>
      <w:rFonts w:ascii="Times New Roman" w:eastAsia="Times New Roman" w:hAnsi="Times New Roman" w:cs="Times New Roman"/>
      <w:sz w:val="16"/>
      <w:szCs w:val="20"/>
      <w:lang w:val="en-GB" w:eastAsia="en-US"/>
    </w:rPr>
  </w:style>
  <w:style w:type="paragraph" w:customStyle="1" w:styleId="Chapter">
    <w:name w:val="Chapter"/>
    <w:basedOn w:val="Normal"/>
    <w:rsid w:val="00F50CCA"/>
    <w:pPr>
      <w:spacing w:before="240"/>
    </w:pPr>
    <w:rPr>
      <w:rFonts w:ascii="Times New Roman" w:hAnsi="Times New Roman"/>
      <w:smallCaps/>
      <w:spacing w:val="80"/>
      <w:sz w:val="28"/>
    </w:rPr>
  </w:style>
  <w:style w:type="paragraph" w:customStyle="1" w:styleId="InChapter">
    <w:name w:val="InChapter"/>
    <w:basedOn w:val="Heading3"/>
    <w:rsid w:val="00F50CCA"/>
    <w:pPr>
      <w:spacing w:after="240"/>
      <w:outlineLvl w:val="9"/>
    </w:pPr>
    <w:rPr>
      <w:noProof/>
    </w:rPr>
  </w:style>
  <w:style w:type="paragraph" w:styleId="Index2">
    <w:name w:val="index 2"/>
    <w:basedOn w:val="Normal"/>
    <w:next w:val="Normal"/>
    <w:semiHidden/>
    <w:rsid w:val="00F50CCA"/>
    <w:pPr>
      <w:tabs>
        <w:tab w:val="right" w:pos="4176"/>
      </w:tabs>
      <w:ind w:left="568" w:hanging="284"/>
    </w:pPr>
    <w:rPr>
      <w:rFonts w:ascii="Garamond" w:hAnsi="Garamond"/>
    </w:rPr>
  </w:style>
  <w:style w:type="paragraph" w:customStyle="1" w:styleId="Byline">
    <w:name w:val="Byline"/>
    <w:rsid w:val="00F50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CCA"/>
    <w:pPr>
      <w:tabs>
        <w:tab w:val="clear" w:pos="3600"/>
        <w:tab w:val="clear" w:pos="3958"/>
      </w:tabs>
      <w:jc w:val="right"/>
    </w:pPr>
  </w:style>
  <w:style w:type="paragraph" w:styleId="Caption">
    <w:name w:val="caption"/>
    <w:basedOn w:val="BodyText"/>
    <w:next w:val="Normal"/>
    <w:qFormat/>
    <w:rsid w:val="00F50CCA"/>
    <w:pPr>
      <w:framePr w:w="2268" w:hSpace="181" w:vSpace="181" w:wrap="around" w:vAnchor="text" w:hAnchor="page" w:x="1135" w:y="285" w:anchorLock="1"/>
    </w:pPr>
    <w:rPr>
      <w:i/>
    </w:rPr>
  </w:style>
  <w:style w:type="paragraph" w:customStyle="1" w:styleId="MiniTOCTitle">
    <w:name w:val="MiniTOCTitle"/>
    <w:basedOn w:val="Heading4"/>
    <w:rsid w:val="00F50CCA"/>
    <w:pPr>
      <w:spacing w:before="240"/>
      <w:outlineLvl w:val="9"/>
    </w:pPr>
    <w:rPr>
      <w:noProof/>
      <w:sz w:val="24"/>
    </w:rPr>
  </w:style>
  <w:style w:type="paragraph" w:customStyle="1" w:styleId="MiniTOCItem">
    <w:name w:val="MiniTOCItem"/>
    <w:basedOn w:val="ListBullet"/>
    <w:rsid w:val="00F50CCA"/>
    <w:pPr>
      <w:numPr>
        <w:numId w:val="0"/>
      </w:numPr>
      <w:tabs>
        <w:tab w:val="right" w:leader="dot" w:pos="6521"/>
      </w:tabs>
      <w:spacing w:before="0" w:after="0"/>
    </w:pPr>
  </w:style>
  <w:style w:type="paragraph" w:customStyle="1" w:styleId="TOFTitle">
    <w:name w:val="TOFTitle"/>
    <w:basedOn w:val="TOCTitle"/>
    <w:rsid w:val="00F50CCA"/>
  </w:style>
  <w:style w:type="paragraph" w:styleId="TableofFigures">
    <w:name w:val="table of figures"/>
    <w:basedOn w:val="Normal"/>
    <w:next w:val="Normal"/>
    <w:semiHidden/>
    <w:rsid w:val="00F50CCA"/>
    <w:pPr>
      <w:tabs>
        <w:tab w:val="right" w:leader="dot" w:pos="9072"/>
      </w:tabs>
      <w:ind w:left="970" w:hanging="403"/>
    </w:pPr>
    <w:rPr>
      <w:rFonts w:ascii="Times New Roman" w:hAnsi="Times New Roman"/>
      <w:b/>
    </w:rPr>
  </w:style>
  <w:style w:type="paragraph" w:styleId="ListNumber">
    <w:name w:val="List Number"/>
    <w:basedOn w:val="List"/>
    <w:rsid w:val="00F50CCA"/>
    <w:pPr>
      <w:numPr>
        <w:numId w:val="15"/>
      </w:numPr>
      <w:tabs>
        <w:tab w:val="clear" w:pos="340"/>
      </w:tabs>
    </w:pPr>
  </w:style>
  <w:style w:type="character" w:customStyle="1" w:styleId="WingdingSymbols">
    <w:name w:val="Wingding Symbols"/>
    <w:rsid w:val="00F50CCA"/>
    <w:rPr>
      <w:rFonts w:ascii="Wingdings" w:hAnsi="Wingdings"/>
    </w:rPr>
  </w:style>
  <w:style w:type="paragraph" w:customStyle="1" w:styleId="TableHeading">
    <w:name w:val="Table Heading"/>
    <w:basedOn w:val="HeadingBase"/>
    <w:rsid w:val="00F50CCA"/>
    <w:pPr>
      <w:keepLines/>
      <w:pBdr>
        <w:bottom w:val="single" w:sz="6" w:space="1" w:color="918585"/>
      </w:pBdr>
      <w:spacing w:before="240"/>
    </w:pPr>
  </w:style>
  <w:style w:type="character" w:customStyle="1" w:styleId="HotSpot">
    <w:name w:val="HotSpot"/>
    <w:rsid w:val="00F50CCA"/>
    <w:rPr>
      <w:color w:val="0033CC"/>
      <w:u w:val="none"/>
    </w:rPr>
  </w:style>
  <w:style w:type="paragraph" w:customStyle="1" w:styleId="BodyTextRight">
    <w:name w:val="Body Text Right"/>
    <w:basedOn w:val="BodyText"/>
    <w:rsid w:val="00F50CCA"/>
    <w:pPr>
      <w:spacing w:before="0" w:after="0"/>
      <w:jc w:val="right"/>
    </w:pPr>
  </w:style>
  <w:style w:type="paragraph" w:styleId="Index3">
    <w:name w:val="index 3"/>
    <w:basedOn w:val="ListNumber2"/>
    <w:next w:val="Normal"/>
    <w:semiHidden/>
    <w:rsid w:val="00F50CCA"/>
    <w:pPr>
      <w:numPr>
        <w:numId w:val="0"/>
      </w:numPr>
      <w:tabs>
        <w:tab w:val="right" w:leader="dot" w:pos="4176"/>
      </w:tabs>
    </w:pPr>
  </w:style>
  <w:style w:type="paragraph" w:styleId="ListNumber2">
    <w:name w:val="List Number 2"/>
    <w:basedOn w:val="List2"/>
    <w:rsid w:val="00F50CCA"/>
    <w:pPr>
      <w:numPr>
        <w:numId w:val="10"/>
      </w:numPr>
      <w:tabs>
        <w:tab w:val="clear" w:pos="1060"/>
      </w:tabs>
    </w:pPr>
  </w:style>
  <w:style w:type="paragraph" w:customStyle="1" w:styleId="MarginNote">
    <w:name w:val="Margin Note"/>
    <w:basedOn w:val="BodyText"/>
    <w:rsid w:val="00F50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CCA"/>
    <w:rPr>
      <w:sz w:val="32"/>
    </w:rPr>
  </w:style>
  <w:style w:type="paragraph" w:customStyle="1" w:styleId="HeadingProcedure">
    <w:name w:val="Heading Procedure"/>
    <w:basedOn w:val="HeadingBase"/>
    <w:next w:val="Normal"/>
    <w:rsid w:val="00F50CCA"/>
    <w:pPr>
      <w:tabs>
        <w:tab w:val="left" w:pos="0"/>
      </w:tabs>
      <w:spacing w:before="120" w:after="60"/>
    </w:pPr>
    <w:rPr>
      <w:i/>
      <w:color w:val="918585"/>
      <w:sz w:val="22"/>
    </w:rPr>
  </w:style>
  <w:style w:type="paragraph" w:customStyle="1" w:styleId="TableBodyText">
    <w:name w:val="Table Body Text"/>
    <w:basedOn w:val="BodyText"/>
    <w:rsid w:val="00F50CCA"/>
    <w:pPr>
      <w:spacing w:before="60" w:after="60"/>
    </w:pPr>
  </w:style>
  <w:style w:type="paragraph" w:styleId="ListContinue">
    <w:name w:val="List Continue"/>
    <w:basedOn w:val="List"/>
    <w:rsid w:val="00F50CCA"/>
    <w:pPr>
      <w:ind w:firstLine="0"/>
    </w:pPr>
  </w:style>
  <w:style w:type="paragraph" w:customStyle="1" w:styleId="ListNote">
    <w:name w:val="List Note"/>
    <w:basedOn w:val="List"/>
    <w:rsid w:val="00F50CCA"/>
    <w:pPr>
      <w:pBdr>
        <w:top w:val="single" w:sz="6" w:space="2" w:color="918585"/>
        <w:bottom w:val="single" w:sz="6" w:space="2" w:color="918585"/>
      </w:pBdr>
      <w:tabs>
        <w:tab w:val="left" w:pos="1021"/>
      </w:tabs>
      <w:ind w:firstLine="0"/>
    </w:pPr>
  </w:style>
  <w:style w:type="paragraph" w:customStyle="1" w:styleId="Warning">
    <w:name w:val="Warning"/>
    <w:basedOn w:val="BodyText"/>
    <w:rsid w:val="00F50CCA"/>
    <w:pPr>
      <w:shd w:val="clear" w:color="auto" w:fill="D9D9D9"/>
      <w:tabs>
        <w:tab w:val="left" w:pos="992"/>
      </w:tabs>
      <w:ind w:left="119" w:right="119"/>
    </w:pPr>
    <w:rPr>
      <w:sz w:val="20"/>
    </w:rPr>
  </w:style>
  <w:style w:type="paragraph" w:customStyle="1" w:styleId="MarginIcons">
    <w:name w:val="Margin Icons"/>
    <w:basedOn w:val="BodyText"/>
    <w:rsid w:val="00F50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CCA"/>
    <w:rPr>
      <w:rFonts w:ascii="Courier New" w:hAnsi="Courier New"/>
    </w:rPr>
  </w:style>
  <w:style w:type="paragraph" w:customStyle="1" w:styleId="NoteBullet">
    <w:name w:val="Note Bullet"/>
    <w:basedOn w:val="Note"/>
    <w:rsid w:val="00F50CCA"/>
    <w:pPr>
      <w:tabs>
        <w:tab w:val="clear" w:pos="680"/>
      </w:tabs>
      <w:spacing w:before="60" w:after="60"/>
    </w:pPr>
  </w:style>
  <w:style w:type="paragraph" w:customStyle="1" w:styleId="SubHeading2">
    <w:name w:val="SubHeading2"/>
    <w:basedOn w:val="HeadingBase"/>
    <w:rsid w:val="00F50CCA"/>
    <w:pPr>
      <w:spacing w:before="240" w:after="60"/>
    </w:pPr>
    <w:rPr>
      <w:sz w:val="20"/>
    </w:rPr>
  </w:style>
  <w:style w:type="paragraph" w:customStyle="1" w:styleId="SubHeading1">
    <w:name w:val="SubHeading1"/>
    <w:basedOn w:val="HeadingBase"/>
    <w:rsid w:val="00F50CCA"/>
    <w:pPr>
      <w:spacing w:before="240" w:after="60"/>
    </w:pPr>
    <w:rPr>
      <w:color w:val="918585"/>
      <w:sz w:val="22"/>
    </w:rPr>
  </w:style>
  <w:style w:type="paragraph" w:customStyle="1" w:styleId="SideHeading">
    <w:name w:val="Side Heading"/>
    <w:basedOn w:val="HeadingBase"/>
    <w:rsid w:val="00F50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CCA"/>
    <w:pPr>
      <w:tabs>
        <w:tab w:val="num" w:pos="360"/>
      </w:tabs>
    </w:pPr>
  </w:style>
  <w:style w:type="paragraph" w:styleId="PlainText">
    <w:name w:val="Plain Text"/>
    <w:basedOn w:val="Normal"/>
    <w:link w:val="PlainTextChar"/>
    <w:rsid w:val="00F50CCA"/>
    <w:rPr>
      <w:sz w:val="20"/>
    </w:rPr>
  </w:style>
  <w:style w:type="character" w:customStyle="1" w:styleId="PlainTextChar">
    <w:name w:val="Plain Text Char"/>
    <w:basedOn w:val="DefaultParagraphFont"/>
    <w:link w:val="PlainText"/>
    <w:rsid w:val="00F50CCA"/>
    <w:rPr>
      <w:rFonts w:ascii="Courier New" w:eastAsia="Times New Roman" w:hAnsi="Courier New" w:cs="Times New Roman"/>
      <w:sz w:val="20"/>
      <w:szCs w:val="20"/>
      <w:lang w:eastAsia="en-US"/>
    </w:rPr>
  </w:style>
  <w:style w:type="character" w:customStyle="1" w:styleId="MenuOption">
    <w:name w:val="Menu Option"/>
    <w:basedOn w:val="DefaultParagraphFont"/>
    <w:rsid w:val="00F50CCA"/>
    <w:rPr>
      <w:b/>
      <w:smallCaps/>
    </w:rPr>
  </w:style>
  <w:style w:type="paragraph" w:customStyle="1" w:styleId="TableListNumber">
    <w:name w:val="Table List Number"/>
    <w:basedOn w:val="ListNumber"/>
    <w:rsid w:val="00F50CCA"/>
    <w:pPr>
      <w:numPr>
        <w:numId w:val="0"/>
      </w:numPr>
    </w:pPr>
  </w:style>
  <w:style w:type="paragraph" w:styleId="TOC4">
    <w:name w:val="toc 4"/>
    <w:basedOn w:val="TOCBase"/>
    <w:next w:val="Normal"/>
    <w:semiHidden/>
    <w:rsid w:val="00F50CCA"/>
    <w:pPr>
      <w:tabs>
        <w:tab w:val="right" w:leader="dot" w:pos="9071"/>
      </w:tabs>
      <w:ind w:left="1701"/>
    </w:pPr>
  </w:style>
  <w:style w:type="paragraph" w:customStyle="1" w:styleId="ListAlpha">
    <w:name w:val="List Alpha"/>
    <w:basedOn w:val="List"/>
    <w:rsid w:val="00F50CCA"/>
    <w:pPr>
      <w:numPr>
        <w:numId w:val="9"/>
      </w:numPr>
    </w:pPr>
  </w:style>
  <w:style w:type="paragraph" w:customStyle="1" w:styleId="ListAlpha2">
    <w:name w:val="List Alpha 2"/>
    <w:basedOn w:val="List2"/>
    <w:rsid w:val="00F50CCA"/>
    <w:pPr>
      <w:numPr>
        <w:numId w:val="8"/>
      </w:numPr>
    </w:pPr>
  </w:style>
  <w:style w:type="paragraph" w:styleId="List2">
    <w:name w:val="List 2"/>
    <w:basedOn w:val="BodyText"/>
    <w:rsid w:val="00F50CCA"/>
    <w:pPr>
      <w:tabs>
        <w:tab w:val="left" w:pos="680"/>
      </w:tabs>
      <w:spacing w:before="60" w:after="60"/>
      <w:ind w:left="680" w:hanging="340"/>
    </w:pPr>
  </w:style>
  <w:style w:type="paragraph" w:styleId="List3">
    <w:name w:val="List 3"/>
    <w:basedOn w:val="BodyText"/>
    <w:rsid w:val="00F50CCA"/>
    <w:pPr>
      <w:tabs>
        <w:tab w:val="left" w:pos="1021"/>
      </w:tabs>
      <w:spacing w:before="60" w:after="60"/>
      <w:ind w:left="1020" w:hanging="340"/>
    </w:pPr>
  </w:style>
  <w:style w:type="paragraph" w:styleId="List4">
    <w:name w:val="List 4"/>
    <w:basedOn w:val="BodyText"/>
    <w:rsid w:val="00F50CCA"/>
    <w:pPr>
      <w:tabs>
        <w:tab w:val="left" w:pos="1361"/>
      </w:tabs>
      <w:spacing w:before="60" w:after="60"/>
      <w:ind w:left="1361" w:hanging="340"/>
    </w:pPr>
  </w:style>
  <w:style w:type="paragraph" w:styleId="List5">
    <w:name w:val="List 5"/>
    <w:basedOn w:val="BodyText"/>
    <w:rsid w:val="00F50CCA"/>
    <w:pPr>
      <w:tabs>
        <w:tab w:val="left" w:pos="1701"/>
      </w:tabs>
      <w:spacing w:before="60" w:after="60"/>
      <w:ind w:left="1701" w:hanging="340"/>
    </w:pPr>
  </w:style>
  <w:style w:type="paragraph" w:styleId="ListBullet3">
    <w:name w:val="List Bullet 3"/>
    <w:basedOn w:val="List3"/>
    <w:rsid w:val="00F50CCA"/>
    <w:pPr>
      <w:numPr>
        <w:numId w:val="14"/>
      </w:numPr>
      <w:tabs>
        <w:tab w:val="clear" w:pos="1021"/>
      </w:tabs>
      <w:ind w:left="1037" w:hanging="357"/>
    </w:pPr>
  </w:style>
  <w:style w:type="paragraph" w:styleId="ListBullet4">
    <w:name w:val="List Bullet 4"/>
    <w:basedOn w:val="List4"/>
    <w:rsid w:val="00F50CCA"/>
    <w:pPr>
      <w:numPr>
        <w:numId w:val="3"/>
      </w:numPr>
      <w:tabs>
        <w:tab w:val="clear" w:pos="1361"/>
      </w:tabs>
    </w:pPr>
  </w:style>
  <w:style w:type="paragraph" w:styleId="ListBullet5">
    <w:name w:val="List Bullet 5"/>
    <w:basedOn w:val="List5"/>
    <w:rsid w:val="00F50CCA"/>
    <w:pPr>
      <w:numPr>
        <w:numId w:val="4"/>
      </w:numPr>
    </w:pPr>
  </w:style>
  <w:style w:type="paragraph" w:styleId="ListContinue2">
    <w:name w:val="List Continue 2"/>
    <w:basedOn w:val="List2"/>
    <w:rsid w:val="00F50CCA"/>
    <w:pPr>
      <w:ind w:firstLine="0"/>
    </w:pPr>
  </w:style>
  <w:style w:type="paragraph" w:styleId="ListContinue3">
    <w:name w:val="List Continue 3"/>
    <w:basedOn w:val="List3"/>
    <w:rsid w:val="00F50CCA"/>
    <w:pPr>
      <w:ind w:left="1021" w:firstLine="0"/>
    </w:pPr>
  </w:style>
  <w:style w:type="paragraph" w:styleId="ListContinue4">
    <w:name w:val="List Continue 4"/>
    <w:basedOn w:val="List4"/>
    <w:rsid w:val="00F50CCA"/>
    <w:pPr>
      <w:ind w:firstLine="0"/>
    </w:pPr>
  </w:style>
  <w:style w:type="paragraph" w:styleId="ListContinue5">
    <w:name w:val="List Continue 5"/>
    <w:basedOn w:val="List5"/>
    <w:rsid w:val="00F50CCA"/>
    <w:pPr>
      <w:ind w:firstLine="0"/>
    </w:pPr>
  </w:style>
  <w:style w:type="paragraph" w:styleId="ListNumber3">
    <w:name w:val="List Number 3"/>
    <w:basedOn w:val="List3"/>
    <w:rsid w:val="00F50CCA"/>
    <w:pPr>
      <w:numPr>
        <w:numId w:val="5"/>
      </w:numPr>
    </w:pPr>
  </w:style>
  <w:style w:type="paragraph" w:styleId="ListNumber4">
    <w:name w:val="List Number 4"/>
    <w:basedOn w:val="List4"/>
    <w:rsid w:val="00F50CCA"/>
    <w:pPr>
      <w:numPr>
        <w:numId w:val="6"/>
      </w:numPr>
    </w:pPr>
  </w:style>
  <w:style w:type="paragraph" w:styleId="ListNumber5">
    <w:name w:val="List Number 5"/>
    <w:basedOn w:val="List5"/>
    <w:rsid w:val="00F50CCA"/>
    <w:pPr>
      <w:numPr>
        <w:numId w:val="7"/>
      </w:numPr>
    </w:pPr>
  </w:style>
  <w:style w:type="paragraph" w:styleId="BlockText">
    <w:name w:val="Block Text"/>
    <w:basedOn w:val="Normal"/>
    <w:rsid w:val="00F50CCA"/>
    <w:pPr>
      <w:spacing w:after="120"/>
      <w:ind w:left="1440" w:right="1440"/>
    </w:pPr>
  </w:style>
  <w:style w:type="character" w:customStyle="1" w:styleId="Subscript">
    <w:name w:val="Subscript"/>
    <w:basedOn w:val="DefaultParagraphFont"/>
    <w:rsid w:val="00F50CCA"/>
    <w:rPr>
      <w:sz w:val="16"/>
      <w:vertAlign w:val="subscript"/>
    </w:rPr>
  </w:style>
  <w:style w:type="character" w:customStyle="1" w:styleId="Superscript">
    <w:name w:val="Superscript"/>
    <w:basedOn w:val="DefaultParagraphFont"/>
    <w:rsid w:val="00F50CCA"/>
    <w:rPr>
      <w:sz w:val="16"/>
      <w:vertAlign w:val="superscript"/>
    </w:rPr>
  </w:style>
  <w:style w:type="character" w:customStyle="1" w:styleId="Symbols">
    <w:name w:val="Symbols"/>
    <w:basedOn w:val="DefaultParagraphFont"/>
    <w:rsid w:val="00F50CCA"/>
    <w:rPr>
      <w:rFonts w:ascii="Symbol" w:hAnsi="Symbol"/>
    </w:rPr>
  </w:style>
  <w:style w:type="character" w:customStyle="1" w:styleId="MenuOptions">
    <w:name w:val="Menu Options"/>
    <w:basedOn w:val="DefaultParagraphFont"/>
    <w:rsid w:val="00F50CCA"/>
    <w:rPr>
      <w:rFonts w:ascii="Arial Narrow" w:hAnsi="Arial Narrow"/>
      <w:smallCaps/>
    </w:rPr>
  </w:style>
  <w:style w:type="character" w:customStyle="1" w:styleId="Buttons">
    <w:name w:val="Buttons"/>
    <w:basedOn w:val="DefaultParagraphFont"/>
    <w:rsid w:val="00F50CCA"/>
    <w:rPr>
      <w:b/>
    </w:rPr>
  </w:style>
  <w:style w:type="character" w:customStyle="1" w:styleId="Underlined">
    <w:name w:val="Underlined"/>
    <w:basedOn w:val="DefaultParagraphFont"/>
    <w:rsid w:val="00F50CCA"/>
    <w:rPr>
      <w:u w:val="single"/>
    </w:rPr>
  </w:style>
  <w:style w:type="paragraph" w:customStyle="1" w:styleId="TableBodyTextRight">
    <w:name w:val="Table Body Text Right"/>
    <w:basedOn w:val="TableBodyText"/>
    <w:rsid w:val="00F50CCA"/>
    <w:pPr>
      <w:widowControl w:val="0"/>
      <w:autoSpaceDE w:val="0"/>
      <w:autoSpaceDN w:val="0"/>
      <w:adjustRightInd w:val="0"/>
      <w:jc w:val="right"/>
    </w:pPr>
    <w:rPr>
      <w:rFonts w:cs="Arial"/>
      <w:szCs w:val="18"/>
    </w:rPr>
  </w:style>
  <w:style w:type="paragraph" w:customStyle="1" w:styleId="CopyrightText">
    <w:name w:val="Copyright Text"/>
    <w:basedOn w:val="BodyText"/>
    <w:rsid w:val="00F50CCA"/>
    <w:rPr>
      <w:sz w:val="18"/>
    </w:rPr>
  </w:style>
  <w:style w:type="paragraph" w:customStyle="1" w:styleId="BodySmallRight">
    <w:name w:val="Body Small Right"/>
    <w:basedOn w:val="BodyTextRight"/>
    <w:rsid w:val="00F50CCA"/>
    <w:rPr>
      <w:sz w:val="18"/>
      <w:szCs w:val="18"/>
    </w:rPr>
  </w:style>
  <w:style w:type="paragraph" w:customStyle="1" w:styleId="MarginEdition">
    <w:name w:val="Margin Edition"/>
    <w:basedOn w:val="MarginNote"/>
    <w:rsid w:val="00F50CCA"/>
    <w:pPr>
      <w:spacing w:before="0" w:after="0"/>
    </w:pPr>
    <w:rPr>
      <w:rFonts w:ascii="Times New Roman" w:hAnsi="Times New Roman"/>
      <w:color w:val="999999"/>
    </w:rPr>
  </w:style>
  <w:style w:type="paragraph" w:customStyle="1" w:styleId="Spacer">
    <w:name w:val="Spacer"/>
    <w:basedOn w:val="Normal"/>
    <w:rsid w:val="00F50CCA"/>
    <w:rPr>
      <w:sz w:val="2"/>
      <w:szCs w:val="2"/>
    </w:rPr>
  </w:style>
  <w:style w:type="character" w:customStyle="1" w:styleId="Small">
    <w:name w:val="Small"/>
    <w:basedOn w:val="DefaultParagraphFont"/>
    <w:rsid w:val="00F50CCA"/>
    <w:rPr>
      <w:sz w:val="16"/>
    </w:rPr>
  </w:style>
  <w:style w:type="paragraph" w:customStyle="1" w:styleId="WideTable">
    <w:name w:val="Wide Table"/>
    <w:basedOn w:val="Normal"/>
    <w:rsid w:val="00F50CCA"/>
    <w:pPr>
      <w:ind w:left="-1418"/>
    </w:pPr>
    <w:rPr>
      <w:sz w:val="2"/>
      <w:szCs w:val="2"/>
    </w:rPr>
  </w:style>
  <w:style w:type="character" w:styleId="PageNumber">
    <w:name w:val="page number"/>
    <w:basedOn w:val="DefaultParagraphFont"/>
    <w:rsid w:val="00F50CCA"/>
  </w:style>
  <w:style w:type="paragraph" w:styleId="Quote">
    <w:name w:val="Quote"/>
    <w:basedOn w:val="Heading1"/>
    <w:link w:val="QuoteChar"/>
    <w:qFormat/>
    <w:rsid w:val="00F50CCA"/>
    <w:rPr>
      <w:b w:val="0"/>
      <w:sz w:val="72"/>
      <w:szCs w:val="72"/>
      <w:lang w:val="en-NZ"/>
    </w:rPr>
  </w:style>
  <w:style w:type="character" w:customStyle="1" w:styleId="QuoteChar">
    <w:name w:val="Quote Char"/>
    <w:basedOn w:val="DefaultParagraphFont"/>
    <w:link w:val="Quote"/>
    <w:rsid w:val="00F50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CCA"/>
    <w:pPr>
      <w:pageBreakBefore/>
    </w:pPr>
  </w:style>
  <w:style w:type="paragraph" w:customStyle="1" w:styleId="Border">
    <w:name w:val="Border"/>
    <w:basedOn w:val="Normal"/>
    <w:qFormat/>
    <w:rsid w:val="00F50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CCA"/>
    <w:rPr>
      <w:b/>
      <w:bCs/>
      <w:i/>
      <w:iCs/>
      <w:color w:val="auto"/>
    </w:rPr>
  </w:style>
  <w:style w:type="paragraph" w:styleId="IntenseQuote">
    <w:name w:val="Intense Quote"/>
    <w:basedOn w:val="Normal"/>
    <w:next w:val="Normal"/>
    <w:link w:val="IntenseQuoteChar"/>
    <w:uiPriority w:val="30"/>
    <w:qFormat/>
    <w:rsid w:val="00F50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CCA"/>
    <w:rPr>
      <w:smallCaps/>
      <w:color w:val="auto"/>
      <w:u w:val="single"/>
    </w:rPr>
  </w:style>
  <w:style w:type="character" w:styleId="IntenseReference">
    <w:name w:val="Intense Reference"/>
    <w:basedOn w:val="DefaultParagraphFont"/>
    <w:uiPriority w:val="32"/>
    <w:qFormat/>
    <w:rsid w:val="00F50CCA"/>
    <w:rPr>
      <w:b/>
      <w:bCs/>
      <w:smallCaps/>
      <w:color w:val="auto"/>
      <w:spacing w:val="5"/>
      <w:u w:val="single"/>
    </w:rPr>
  </w:style>
  <w:style w:type="paragraph" w:customStyle="1" w:styleId="2ColumnHeading">
    <w:name w:val="2Column Heading"/>
    <w:basedOn w:val="BodyText"/>
    <w:qFormat/>
    <w:rsid w:val="00F50CCA"/>
    <w:pPr>
      <w:spacing w:after="60"/>
      <w:ind w:left="-2268"/>
    </w:pPr>
    <w:rPr>
      <w:b/>
    </w:rPr>
  </w:style>
  <w:style w:type="paragraph" w:customStyle="1" w:styleId="Heading1TOC">
    <w:name w:val="Heading1 TOC"/>
    <w:basedOn w:val="Normal"/>
    <w:qFormat/>
    <w:rsid w:val="00F50CCA"/>
    <w:pPr>
      <w:spacing w:before="240" w:after="120"/>
    </w:pPr>
    <w:rPr>
      <w:rFonts w:ascii="Times New Roman" w:hAnsi="Times New Roman"/>
      <w:b/>
      <w:sz w:val="32"/>
    </w:rPr>
  </w:style>
  <w:style w:type="paragraph" w:customStyle="1" w:styleId="Heading2TOC">
    <w:name w:val="Heading2 TOC"/>
    <w:basedOn w:val="Normal"/>
    <w:qFormat/>
    <w:rsid w:val="00F50CCA"/>
    <w:pPr>
      <w:spacing w:before="240" w:after="60"/>
    </w:pPr>
    <w:rPr>
      <w:rFonts w:ascii="Times New Roman" w:hAnsi="Times New Roman"/>
      <w:b/>
      <w:sz w:val="28"/>
    </w:rPr>
  </w:style>
  <w:style w:type="character" w:customStyle="1" w:styleId="Underline">
    <w:name w:val="Underline"/>
    <w:basedOn w:val="DefaultParagraphFont"/>
    <w:qFormat/>
    <w:rsid w:val="00F50CCA"/>
    <w:rPr>
      <w:u w:val="single"/>
    </w:rPr>
  </w:style>
  <w:style w:type="character" w:customStyle="1" w:styleId="BoldandItalics">
    <w:name w:val="Bold and Italics"/>
    <w:qFormat/>
    <w:rsid w:val="00F50CCA"/>
    <w:rPr>
      <w:b/>
      <w:i/>
      <w:u w:val="none"/>
    </w:rPr>
  </w:style>
  <w:style w:type="paragraph" w:styleId="BalloonText">
    <w:name w:val="Balloon Text"/>
    <w:basedOn w:val="Normal"/>
    <w:link w:val="BalloonTextChar"/>
    <w:rsid w:val="00F50CCA"/>
    <w:rPr>
      <w:rFonts w:ascii="Tahoma" w:hAnsi="Tahoma" w:cs="Tahoma"/>
      <w:sz w:val="16"/>
      <w:szCs w:val="16"/>
    </w:rPr>
  </w:style>
  <w:style w:type="character" w:customStyle="1" w:styleId="BalloonTextChar">
    <w:name w:val="Balloon Text Char"/>
    <w:basedOn w:val="DefaultParagraphFont"/>
    <w:link w:val="BalloonText"/>
    <w:rsid w:val="00F50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CCA"/>
    <w:rPr>
      <w:b/>
      <w:color w:val="660033"/>
      <w:spacing w:val="0"/>
    </w:rPr>
  </w:style>
  <w:style w:type="paragraph" w:customStyle="1" w:styleId="Nameditemlist">
    <w:name w:val="Named item list"/>
    <w:basedOn w:val="BodyText"/>
    <w:qFormat/>
    <w:rsid w:val="00F50CCA"/>
    <w:pPr>
      <w:tabs>
        <w:tab w:val="left" w:pos="2835"/>
      </w:tabs>
      <w:ind w:left="2835" w:hanging="2835"/>
    </w:pPr>
  </w:style>
  <w:style w:type="paragraph" w:customStyle="1" w:styleId="BodyTextnopadding">
    <w:name w:val="Body Text no padding"/>
    <w:basedOn w:val="BodyText"/>
    <w:qFormat/>
    <w:rsid w:val="00F50CCA"/>
    <w:pPr>
      <w:spacing w:before="0" w:after="0"/>
    </w:pPr>
  </w:style>
  <w:style w:type="paragraph" w:customStyle="1" w:styleId="BodyTextBold">
    <w:name w:val="Body Text Bold"/>
    <w:basedOn w:val="BodyText"/>
    <w:qFormat/>
    <w:rsid w:val="00F50CCA"/>
    <w:rPr>
      <w:b/>
    </w:rPr>
  </w:style>
  <w:style w:type="character" w:styleId="Hyperlink">
    <w:name w:val="Hyperlink"/>
    <w:basedOn w:val="DefaultParagraphFont"/>
    <w:uiPriority w:val="99"/>
    <w:unhideWhenUsed/>
    <w:rsid w:val="004E4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4484</Characters>
  <Application>Microsoft Office Word</Application>
  <DocSecurity>0</DocSecurity>
  <Lines>112</Lines>
  <Paragraphs>76</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FNSACC601 Prepare and administer tax documentation for legal entities</dc:title>
  <dc:subject>Approved</dc:subject>
  <dc:creator>PwC’s Skills for Australia</dc:creator>
  <cp:keywords>Release: 4</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