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0EF" w:rsidP="006710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FNSACC512 Prepare tax documentation for individuals</w:t>
      </w:r>
      <w:r>
        <w:fldChar w:fldCharType="end"/>
      </w:r>
    </w:p>
    <w:p w:rsidR="006710EF" w:rsidP="006710EF">
      <w:pPr>
        <w:pStyle w:val="Version"/>
        <w:sectPr w:rsidSect="00473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241" w:rsidP="00473241">
      <w:pPr>
        <w:pStyle w:val="SuperHeading"/>
      </w:pPr>
      <w:r w:rsidRPr="00473241">
        <w:t>Assessment Requirements for FNSACC512 Prepare tax documentation for individuals</w:t>
      </w:r>
    </w:p>
    <w:p w:rsidR="00000000" w:rsidRPr="00473241" w:rsidP="00473241">
      <w:pPr>
        <w:pStyle w:val="Heading1"/>
      </w:pPr>
      <w:bookmarkStart w:id="1" w:name="O_975824"/>
      <w:bookmarkEnd w:id="1"/>
      <w:r w:rsidRPr="004732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73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41" w:rsidP="00473241">
            <w:pPr>
              <w:pStyle w:val="BodyText"/>
            </w:pPr>
            <w:r w:rsidRPr="00473241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41">
            <w:pPr>
              <w:pStyle w:val="BodyText"/>
              <w:rPr>
                <w:lang w:val="en-NZ"/>
              </w:rPr>
            </w:pPr>
            <w:r w:rsidRPr="00473241">
              <w:rPr>
                <w:rStyle w:val="SpecialBold"/>
              </w:rPr>
              <w:t>Comments</w:t>
            </w:r>
          </w:p>
        </w:tc>
      </w:tr>
      <w:tr w:rsidTr="00473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41">
            <w:pPr>
              <w:pStyle w:val="BodyText"/>
              <w:rPr>
                <w:lang w:val="en-NZ"/>
              </w:rPr>
            </w:pPr>
            <w:r w:rsidRPr="00473241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41" w:rsidP="00473241">
            <w:pPr>
              <w:pStyle w:val="BodyText"/>
            </w:pPr>
            <w:r w:rsidRPr="00473241">
              <w:t>This version first released with FNS Financial Services Training Package Version 3.0.</w:t>
            </w:r>
          </w:p>
        </w:tc>
      </w:tr>
    </w:tbl>
    <w:p w:rsidR="006710EF" w:rsidP="00473241">
      <w:pPr>
        <w:pStyle w:val="BodyText"/>
      </w:pPr>
    </w:p>
    <w:p w:rsidR="006710EF" w:rsidP="00473241">
      <w:pPr>
        <w:pStyle w:val="BodyText"/>
      </w:pPr>
    </w:p>
    <w:p w:rsidR="00000000" w:rsidRPr="00473241" w:rsidP="00473241">
      <w:pPr>
        <w:pStyle w:val="Heading1"/>
      </w:pPr>
      <w:bookmarkStart w:id="2" w:name="O_975825"/>
      <w:bookmarkEnd w:id="2"/>
      <w:r w:rsidRPr="00473241">
        <w:t>Performance Evidence</w:t>
      </w:r>
    </w:p>
    <w:p w:rsidR="00000000" w:rsidRPr="00473241" w:rsidP="006710EF">
      <w:pPr>
        <w:pStyle w:val="BodyText"/>
      </w:pPr>
      <w:r w:rsidRPr="00473241">
        <w:t>Evidence of the ability to:</w:t>
      </w:r>
    </w:p>
    <w:p w:rsidR="00000000" w:rsidRPr="00473241" w:rsidP="00473241">
      <w:pPr>
        <w:pStyle w:val="ListBullet"/>
      </w:pPr>
      <w:r w:rsidRPr="00473241">
        <w:t>research, critically evaluate, and apply new or changed legislative requirements relating to the preparation of client non-complex income tax documentation</w:t>
      </w:r>
    </w:p>
    <w:p w:rsidR="00000000" w:rsidRPr="00473241" w:rsidP="00473241">
      <w:pPr>
        <w:pStyle w:val="ListBullet"/>
      </w:pPr>
      <w:r w:rsidRPr="00473241">
        <w:t>identify client data required to calculate taxable</w:t>
      </w:r>
      <w:r w:rsidRPr="00473241">
        <w:t xml:space="preserve"> income</w:t>
      </w:r>
    </w:p>
    <w:p w:rsidR="00000000" w:rsidRPr="00473241" w:rsidP="00473241">
      <w:pPr>
        <w:pStyle w:val="ListBullet"/>
      </w:pPr>
      <w:r w:rsidRPr="00473241">
        <w:t>prepare client tax documentation that complies with:</w:t>
      </w:r>
    </w:p>
    <w:p w:rsidR="00000000" w:rsidRPr="00473241" w:rsidP="00473241">
      <w:pPr>
        <w:pStyle w:val="ListBullet2"/>
      </w:pPr>
      <w:r w:rsidRPr="00473241">
        <w:t>Australian taxation law and Australian Taxation Office (ATO) rulings</w:t>
      </w:r>
    </w:p>
    <w:p w:rsidR="00000000" w:rsidRPr="00473241" w:rsidP="00473241">
      <w:pPr>
        <w:pStyle w:val="ListBullet2"/>
      </w:pPr>
      <w:r w:rsidRPr="00473241">
        <w:t>accounting principles and practices</w:t>
      </w:r>
    </w:p>
    <w:p w:rsidR="00000000" w:rsidRPr="00473241" w:rsidP="00473241">
      <w:pPr>
        <w:pStyle w:val="ListBullet2"/>
      </w:pPr>
      <w:r w:rsidRPr="00473241">
        <w:t>organisational policies and procedures</w:t>
      </w:r>
    </w:p>
    <w:p w:rsidR="00000000" w:rsidRPr="00473241" w:rsidP="00473241">
      <w:pPr>
        <w:pStyle w:val="ListBullet"/>
      </w:pPr>
      <w:r w:rsidRPr="00473241">
        <w:t>provide advice to client on tax documentatio</w:t>
      </w:r>
      <w:r w:rsidRPr="00473241">
        <w:t>n presented and obtain verification and approval.</w:t>
      </w:r>
    </w:p>
    <w:p w:rsidR="00000000" w:rsidRPr="00473241" w:rsidP="00473241">
      <w:pPr>
        <w:pStyle w:val="BodyText"/>
      </w:pPr>
    </w:p>
    <w:p w:rsidR="006710EF" w:rsidP="006710EF">
      <w:pPr>
        <w:pStyle w:val="BodyText"/>
      </w:pPr>
      <w:r w:rsidRPr="00473241">
        <w:t>Note: If a specific volume or frequency is not stated, then evidence must be provided at least once.</w:t>
      </w:r>
    </w:p>
    <w:p w:rsidR="00000000" w:rsidRPr="00473241" w:rsidP="00473241">
      <w:pPr>
        <w:pStyle w:val="Heading1"/>
      </w:pPr>
      <w:bookmarkStart w:id="3" w:name="O_975826"/>
      <w:bookmarkEnd w:id="3"/>
      <w:r w:rsidRPr="00473241">
        <w:t>Knowledge Evidence</w:t>
      </w:r>
    </w:p>
    <w:p w:rsidR="00000000" w:rsidRPr="00473241" w:rsidP="006710EF">
      <w:pPr>
        <w:pStyle w:val="BodyText"/>
      </w:pPr>
      <w:r w:rsidRPr="00473241">
        <w:t>The candidate must be able to demonstrate the following knowledge t</w:t>
      </w:r>
      <w:r w:rsidRPr="00473241">
        <w:t>o effectively complete the tasks outlined in the elements and performance criteria of this unit, and to manage tasks and reasonably foreseeable contingencies in the context of the work role.</w:t>
      </w:r>
    </w:p>
    <w:p w:rsidR="00000000" w:rsidRPr="00473241" w:rsidP="00473241">
      <w:pPr>
        <w:pStyle w:val="ListBullet"/>
      </w:pPr>
      <w:r w:rsidRPr="00473241">
        <w:t xml:space="preserve">Ethical considerations and legislative requirements required to </w:t>
      </w:r>
      <w:r w:rsidRPr="00473241">
        <w:t>prepare non-complex income tax documentation for individual taxpayers, including:</w:t>
      </w:r>
    </w:p>
    <w:p w:rsidR="00000000" w:rsidRPr="00473241" w:rsidP="00473241">
      <w:pPr>
        <w:pStyle w:val="ListBullet2"/>
      </w:pPr>
      <w:r w:rsidRPr="00473241">
        <w:t>conflict of interest</w:t>
      </w:r>
    </w:p>
    <w:p w:rsidR="00000000" w:rsidRPr="00473241" w:rsidP="00473241">
      <w:pPr>
        <w:pStyle w:val="ListBullet2"/>
      </w:pPr>
      <w:r w:rsidRPr="00473241">
        <w:t>responsibilities of tax agents, including code of professional conduct obligations under the Tax Agent Services Act (TASA) and Tax Agent Services Regula</w:t>
      </w:r>
      <w:r w:rsidRPr="00473241">
        <w:t>tions (TASR)</w:t>
      </w:r>
    </w:p>
    <w:p w:rsidR="00000000" w:rsidRPr="00473241" w:rsidP="00473241">
      <w:pPr>
        <w:pStyle w:val="ListBullet"/>
      </w:pPr>
      <w:r w:rsidRPr="00473241">
        <w:t>Key elements of Australian tax law as they relate to income tax documentation for individual taxpayers, including:</w:t>
      </w:r>
    </w:p>
    <w:p w:rsidR="00000000" w:rsidRPr="00473241" w:rsidP="00473241">
      <w:pPr>
        <w:pStyle w:val="ListBullet2"/>
      </w:pPr>
      <w:r w:rsidRPr="00473241">
        <w:t>rules and principles of Australian tax law, and the legal environment in which these principles operate</w:t>
      </w:r>
    </w:p>
    <w:p w:rsidR="00000000" w:rsidRPr="00473241" w:rsidP="00473241">
      <w:pPr>
        <w:pStyle w:val="ListBullet2"/>
      </w:pPr>
      <w:r w:rsidRPr="00473241">
        <w:t>basics of the legal system, constitutional considerations, and separation of powers that relate to preparing non-complex income tax documentation</w:t>
      </w:r>
    </w:p>
    <w:p w:rsidR="00000000" w:rsidRPr="00473241" w:rsidP="00473241">
      <w:pPr>
        <w:pStyle w:val="ListBullet2"/>
      </w:pPr>
      <w:r w:rsidRPr="00473241">
        <w:t>key aspects of the income tax law covering concepts of:</w:t>
      </w:r>
    </w:p>
    <w:p w:rsidR="00000000" w:rsidRPr="00473241" w:rsidP="00473241">
      <w:pPr>
        <w:pStyle w:val="ListBullet3"/>
      </w:pPr>
      <w:r w:rsidRPr="00473241">
        <w:t>residence and source</w:t>
      </w:r>
    </w:p>
    <w:p w:rsidR="00000000" w:rsidRPr="00473241" w:rsidP="00473241">
      <w:pPr>
        <w:pStyle w:val="ListBullet3"/>
      </w:pPr>
      <w:r w:rsidRPr="00473241">
        <w:t>related elements of internationa</w:t>
      </w:r>
      <w:r w:rsidRPr="00473241">
        <w:t>l tax</w:t>
      </w:r>
    </w:p>
    <w:p w:rsidR="00000000" w:rsidRPr="00473241" w:rsidP="00473241">
      <w:pPr>
        <w:pStyle w:val="ListBullet3"/>
      </w:pPr>
      <w:r w:rsidRPr="00473241">
        <w:t>assessable income</w:t>
      </w:r>
    </w:p>
    <w:p w:rsidR="00000000" w:rsidRPr="00473241" w:rsidP="00473241">
      <w:pPr>
        <w:pStyle w:val="ListBullet3"/>
      </w:pPr>
      <w:r w:rsidRPr="00473241">
        <w:t>deductions, including general, specific, and decline in value</w:t>
      </w:r>
    </w:p>
    <w:p w:rsidR="00000000" w:rsidRPr="00473241" w:rsidP="00473241">
      <w:pPr>
        <w:pStyle w:val="ListBullet3"/>
      </w:pPr>
      <w:r w:rsidRPr="00473241">
        <w:t>tax rebates and offsets</w:t>
      </w:r>
    </w:p>
    <w:p w:rsidR="00000000" w:rsidRPr="00473241" w:rsidP="00473241">
      <w:pPr>
        <w:pStyle w:val="ListBullet3"/>
      </w:pPr>
      <w:r w:rsidRPr="00473241">
        <w:t>tax accounting</w:t>
      </w:r>
    </w:p>
    <w:p w:rsidR="00000000" w:rsidRPr="00473241" w:rsidP="00473241">
      <w:pPr>
        <w:pStyle w:val="ListBullet3"/>
      </w:pPr>
      <w:r w:rsidRPr="00473241">
        <w:t>income test definitions that include reportable superannuation and fringe benefits tax (FBT)</w:t>
      </w:r>
    </w:p>
    <w:p w:rsidR="00000000" w:rsidRPr="00473241" w:rsidP="00473241">
      <w:pPr>
        <w:pStyle w:val="ListBullet2"/>
      </w:pPr>
      <w:r w:rsidRPr="00473241">
        <w:t>key aspects of principles and application of capital gains tax (CGT), FBT and employment termination payment (ETP) rules for individual taxpayers</w:t>
      </w:r>
    </w:p>
    <w:p w:rsidR="00000000" w:rsidRPr="00473241" w:rsidP="00473241">
      <w:pPr>
        <w:pStyle w:val="ListBullet2"/>
      </w:pPr>
      <w:r w:rsidRPr="00473241">
        <w:t>basic concept of goods and services tax (GST)</w:t>
      </w:r>
    </w:p>
    <w:p w:rsidR="00000000" w:rsidRPr="00473241" w:rsidP="00473241">
      <w:pPr>
        <w:pStyle w:val="ListBullet2"/>
      </w:pPr>
      <w:r w:rsidRPr="00473241">
        <w:t xml:space="preserve">administrative aspects of the taxes identified above, including </w:t>
      </w:r>
      <w:r w:rsidRPr="00473241">
        <w:t>documentation, tax collection and withholding mechanisms, assessments, obligations, rulings, penalties and audits</w:t>
      </w:r>
    </w:p>
    <w:p w:rsidR="00000000" w:rsidRPr="00473241" w:rsidP="00473241">
      <w:pPr>
        <w:pStyle w:val="ListBullet2"/>
      </w:pPr>
      <w:r w:rsidRPr="00473241">
        <w:t>specific and general anti-avoidance tax rules for individuals</w:t>
      </w:r>
    </w:p>
    <w:p w:rsidR="00000000" w:rsidRPr="00473241" w:rsidP="00473241">
      <w:pPr>
        <w:pStyle w:val="ListBullet"/>
      </w:pPr>
      <w:r w:rsidRPr="00473241">
        <w:t>Key sources of information and data required to calculate taxable income</w:t>
      </w:r>
    </w:p>
    <w:p w:rsidR="00000000" w:rsidRPr="00473241" w:rsidP="00473241">
      <w:pPr>
        <w:pStyle w:val="ListBullet"/>
      </w:pPr>
      <w:r w:rsidRPr="00473241">
        <w:t>Key features of organisational policies and procedures required to prepare non-complex income tax documentation for individual taxpayers</w:t>
      </w:r>
    </w:p>
    <w:p w:rsidR="006710EF" w:rsidP="00473241">
      <w:pPr>
        <w:pStyle w:val="ListBullet"/>
      </w:pPr>
      <w:r w:rsidRPr="00473241">
        <w:t>Key accounting principles and practices required to prepare non-complex income tax documentation for individual taxpaye</w:t>
      </w:r>
      <w:r w:rsidRPr="00473241">
        <w:t>rs</w:t>
      </w:r>
    </w:p>
    <w:p w:rsidR="006710EF" w:rsidP="00473241">
      <w:pPr>
        <w:pStyle w:val="ListBullet"/>
      </w:pPr>
    </w:p>
    <w:p w:rsidR="00000000" w:rsidRPr="00473241" w:rsidP="00473241">
      <w:pPr>
        <w:pStyle w:val="Heading1"/>
      </w:pPr>
      <w:bookmarkStart w:id="4" w:name="O_975827"/>
      <w:bookmarkEnd w:id="4"/>
      <w:r w:rsidRPr="00473241">
        <w:t>Assessment Conditions</w:t>
      </w:r>
    </w:p>
    <w:p w:rsidR="00000000" w:rsidRPr="00473241" w:rsidP="006710EF">
      <w:pPr>
        <w:pStyle w:val="BodyText"/>
      </w:pPr>
      <w:r w:rsidRPr="00473241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473241" w:rsidP="00473241">
      <w:pPr>
        <w:pStyle w:val="ListBullet"/>
      </w:pPr>
      <w:r w:rsidRPr="00473241">
        <w:t>office equip</w:t>
      </w:r>
      <w:r w:rsidRPr="00473241">
        <w:t>ment, technology, software and consumables required to prepare non-complex income tax documentation for individuals, including:</w:t>
      </w:r>
    </w:p>
    <w:p w:rsidR="00000000" w:rsidRPr="00473241" w:rsidP="00473241">
      <w:pPr>
        <w:pStyle w:val="ListBullet2"/>
      </w:pPr>
      <w:r w:rsidRPr="00473241">
        <w:t>access to the internet</w:t>
      </w:r>
    </w:p>
    <w:p w:rsidR="00000000" w:rsidRPr="00473241" w:rsidP="00473241">
      <w:pPr>
        <w:pStyle w:val="ListBullet2"/>
      </w:pPr>
      <w:r w:rsidRPr="00473241">
        <w:t>digital systems and programs for preparing and lodging tax returns.</w:t>
      </w:r>
    </w:p>
    <w:p w:rsidR="00000000" w:rsidRPr="00473241" w:rsidP="00473241">
      <w:pPr>
        <w:pStyle w:val="BodyText"/>
      </w:pPr>
    </w:p>
    <w:p w:rsidR="00000000" w:rsidRPr="00473241" w:rsidP="006710EF">
      <w:pPr>
        <w:pStyle w:val="BodyText"/>
      </w:pPr>
      <w:r w:rsidRPr="00473241">
        <w:t>Assessors of this unit must satisfy</w:t>
      </w:r>
      <w:r w:rsidRPr="00473241">
        <w:t xml:space="preserve"> the assessor requirements in applicable vocational education and training legislation, frameworks and/or standards.</w:t>
      </w:r>
    </w:p>
    <w:p w:rsidR="00000000" w:rsidRPr="00473241" w:rsidP="006710EF">
      <w:pPr>
        <w:pStyle w:val="BodyText"/>
      </w:pPr>
      <w:r w:rsidRPr="00473241">
        <w:t>This unit is designed to meet the education requirements of the Tax Practitioner Board (TPB). Where registration with the TPB is sought, a</w:t>
      </w:r>
      <w:r w:rsidRPr="00473241">
        <w:t>ssessment must reflect the conditions described by the regulator which stipulate that a significant amount (at least 40%) must be completed under some form of independent supervision. Where recognition of prior learning (RPL) is used, it must also meet the</w:t>
      </w:r>
      <w:r w:rsidRPr="00473241">
        <w:t xml:space="preserve"> requirements of the Board’s policy on RPL.</w:t>
      </w:r>
    </w:p>
    <w:p w:rsidR="006710EF" w:rsidP="006710EF">
      <w:pPr>
        <w:pStyle w:val="BodyText"/>
      </w:pPr>
      <w:r w:rsidRPr="00473241">
        <w:t xml:space="preserve">Details of requirements can be accessed on the TPB website at: </w:t>
      </w:r>
      <w:r>
        <w:fldChar w:fldCharType="begin"/>
      </w:r>
      <w:r>
        <w:instrText xml:space="preserve"> HYPERLINK "http://www.tpb.gov.au" </w:instrText>
      </w:r>
      <w:r>
        <w:fldChar w:fldCharType="separate"/>
      </w:r>
      <w:r w:rsidRPr="007C4697">
        <w:rPr>
          <w:rStyle w:val="Hyperlink"/>
        </w:rPr>
        <w:t>http://www.tpb.gov.au</w:t>
      </w:r>
      <w:r>
        <w:fldChar w:fldCharType="end"/>
      </w:r>
      <w:r w:rsidRPr="00473241">
        <w:t>.</w:t>
      </w:r>
    </w:p>
    <w:p w:rsidR="00000000" w:rsidRPr="00473241" w:rsidP="00473241">
      <w:pPr>
        <w:pStyle w:val="Heading1"/>
      </w:pPr>
      <w:bookmarkStart w:id="5" w:name="O_975830"/>
      <w:bookmarkEnd w:id="5"/>
      <w:r w:rsidRPr="00473241">
        <w:t>Links</w:t>
      </w:r>
    </w:p>
    <w:p w:rsidR="00000000" w:rsidRPr="00473241" w:rsidP="006710EF">
      <w:pPr>
        <w:pStyle w:val="BodyText"/>
      </w:pPr>
      <w:r w:rsidRPr="00473241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46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73241" w:rsidP="00473241"/>
    <w:sectPr w:rsidSect="004732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41" w:rsidRPr="006710EF" w:rsidP="006710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EF" w:rsidP="00473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0EF" w:rsidP="00473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0EF" w:rsidP="00473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241" w:rsidRPr="006710EF" w:rsidP="006710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EF" w:rsidRPr="002D2AF8" w:rsidP="00473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FNSACC512 Prepare tax documentation for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710EF" w:rsidP="00473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900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EA8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E87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241"/>
  </w:style>
  <w:style w:type="character" w:customStyle="1" w:styleId="Heading1Char">
    <w:name w:val="Heading 1 Char"/>
    <w:basedOn w:val="DefaultParagraphFont"/>
    <w:link w:val="Heading1"/>
    <w:rsid w:val="00473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2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2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241"/>
    <w:rPr>
      <w:b/>
      <w:spacing w:val="0"/>
    </w:rPr>
  </w:style>
  <w:style w:type="paragraph" w:styleId="ListBullet2">
    <w:name w:val="List Bullet 2"/>
    <w:basedOn w:val="List2"/>
    <w:rsid w:val="0047324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3241"/>
    <w:rPr>
      <w:i/>
    </w:rPr>
  </w:style>
  <w:style w:type="paragraph" w:customStyle="1" w:styleId="SuperHeading">
    <w:name w:val="SuperHeading"/>
    <w:basedOn w:val="Normal"/>
    <w:rsid w:val="00473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32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3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2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2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3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241"/>
  </w:style>
  <w:style w:type="paragraph" w:styleId="TableofFigures">
    <w:name w:val="table of figures"/>
    <w:basedOn w:val="Normal"/>
    <w:next w:val="Normal"/>
    <w:semiHidden/>
    <w:rsid w:val="00473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2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3241"/>
    <w:rPr>
      <w:rFonts w:ascii="Wingdings" w:hAnsi="Wingdings"/>
    </w:rPr>
  </w:style>
  <w:style w:type="paragraph" w:customStyle="1" w:styleId="TableHeading">
    <w:name w:val="Table Heading"/>
    <w:basedOn w:val="HeadingBase"/>
    <w:rsid w:val="00473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241"/>
    <w:rPr>
      <w:color w:val="0033CC"/>
      <w:u w:val="none"/>
    </w:rPr>
  </w:style>
  <w:style w:type="paragraph" w:customStyle="1" w:styleId="BodyTextRight">
    <w:name w:val="Body Text Right"/>
    <w:basedOn w:val="BodyText"/>
    <w:rsid w:val="00473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2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241"/>
    <w:rPr>
      <w:sz w:val="32"/>
    </w:rPr>
  </w:style>
  <w:style w:type="paragraph" w:customStyle="1" w:styleId="HeadingProcedure">
    <w:name w:val="Heading Procedure"/>
    <w:basedOn w:val="HeadingBase"/>
    <w:next w:val="Normal"/>
    <w:rsid w:val="00473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241"/>
    <w:pPr>
      <w:spacing w:before="60" w:after="60"/>
    </w:pPr>
  </w:style>
  <w:style w:type="paragraph" w:styleId="ListContinue">
    <w:name w:val="List Continue"/>
    <w:basedOn w:val="List"/>
    <w:rsid w:val="00473241"/>
    <w:pPr>
      <w:ind w:firstLine="0"/>
    </w:pPr>
  </w:style>
  <w:style w:type="paragraph" w:customStyle="1" w:styleId="ListNote">
    <w:name w:val="List Note"/>
    <w:basedOn w:val="List"/>
    <w:rsid w:val="00473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241"/>
    <w:rPr>
      <w:rFonts w:ascii="Courier New" w:hAnsi="Courier New"/>
    </w:rPr>
  </w:style>
  <w:style w:type="paragraph" w:customStyle="1" w:styleId="NoteBullet">
    <w:name w:val="Note Bullet"/>
    <w:basedOn w:val="Note"/>
    <w:rsid w:val="00473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2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3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241"/>
    <w:rPr>
      <w:b/>
      <w:smallCaps/>
    </w:rPr>
  </w:style>
  <w:style w:type="paragraph" w:customStyle="1" w:styleId="TableListNumber">
    <w:name w:val="Table List Number"/>
    <w:basedOn w:val="ListNumber"/>
    <w:rsid w:val="00473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241"/>
    <w:pPr>
      <w:numPr>
        <w:numId w:val="10"/>
      </w:numPr>
    </w:pPr>
  </w:style>
  <w:style w:type="paragraph" w:customStyle="1" w:styleId="ListAlpha2">
    <w:name w:val="List Alpha 2"/>
    <w:basedOn w:val="List2"/>
    <w:rsid w:val="00473241"/>
    <w:pPr>
      <w:numPr>
        <w:numId w:val="9"/>
      </w:numPr>
    </w:pPr>
  </w:style>
  <w:style w:type="paragraph" w:styleId="List2">
    <w:name w:val="List 2"/>
    <w:basedOn w:val="BodyText"/>
    <w:rsid w:val="00473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2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32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3241"/>
    <w:pPr>
      <w:numPr>
        <w:numId w:val="5"/>
      </w:numPr>
    </w:pPr>
  </w:style>
  <w:style w:type="paragraph" w:styleId="ListContinue2">
    <w:name w:val="List Continue 2"/>
    <w:basedOn w:val="List2"/>
    <w:rsid w:val="00473241"/>
    <w:pPr>
      <w:ind w:firstLine="0"/>
    </w:pPr>
  </w:style>
  <w:style w:type="paragraph" w:styleId="ListContinue3">
    <w:name w:val="List Continue 3"/>
    <w:basedOn w:val="List3"/>
    <w:rsid w:val="00473241"/>
    <w:pPr>
      <w:ind w:left="1021" w:firstLine="0"/>
    </w:pPr>
  </w:style>
  <w:style w:type="paragraph" w:styleId="ListContinue4">
    <w:name w:val="List Continue 4"/>
    <w:basedOn w:val="List4"/>
    <w:rsid w:val="00473241"/>
    <w:pPr>
      <w:ind w:firstLine="0"/>
    </w:pPr>
  </w:style>
  <w:style w:type="paragraph" w:styleId="ListContinue5">
    <w:name w:val="List Continue 5"/>
    <w:basedOn w:val="List5"/>
    <w:rsid w:val="00473241"/>
    <w:pPr>
      <w:ind w:firstLine="0"/>
    </w:pPr>
  </w:style>
  <w:style w:type="paragraph" w:styleId="ListNumber3">
    <w:name w:val="List Number 3"/>
    <w:basedOn w:val="List3"/>
    <w:rsid w:val="00473241"/>
    <w:pPr>
      <w:numPr>
        <w:numId w:val="6"/>
      </w:numPr>
    </w:pPr>
  </w:style>
  <w:style w:type="paragraph" w:styleId="ListNumber4">
    <w:name w:val="List Number 4"/>
    <w:basedOn w:val="List4"/>
    <w:rsid w:val="00473241"/>
    <w:pPr>
      <w:numPr>
        <w:numId w:val="7"/>
      </w:numPr>
    </w:pPr>
  </w:style>
  <w:style w:type="paragraph" w:styleId="ListNumber5">
    <w:name w:val="List Number 5"/>
    <w:basedOn w:val="List5"/>
    <w:rsid w:val="00473241"/>
    <w:pPr>
      <w:numPr>
        <w:numId w:val="8"/>
      </w:numPr>
    </w:pPr>
  </w:style>
  <w:style w:type="paragraph" w:styleId="BlockText">
    <w:name w:val="Block Text"/>
    <w:basedOn w:val="Normal"/>
    <w:rsid w:val="00473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241"/>
    <w:rPr>
      <w:sz w:val="16"/>
      <w:vertAlign w:val="superscript"/>
    </w:rPr>
  </w:style>
  <w:style w:type="character" w:customStyle="1" w:styleId="Symbols">
    <w:name w:val="Symbols"/>
    <w:basedOn w:val="DefaultParagraphFont"/>
    <w:rsid w:val="00473241"/>
    <w:rPr>
      <w:rFonts w:ascii="Symbol" w:hAnsi="Symbol"/>
    </w:rPr>
  </w:style>
  <w:style w:type="character" w:customStyle="1" w:styleId="MenuOptions">
    <w:name w:val="Menu Options"/>
    <w:basedOn w:val="DefaultParagraphFont"/>
    <w:rsid w:val="00473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241"/>
    <w:rPr>
      <w:b/>
    </w:rPr>
  </w:style>
  <w:style w:type="character" w:customStyle="1" w:styleId="Underlined">
    <w:name w:val="Underlined"/>
    <w:basedOn w:val="DefaultParagraphFont"/>
    <w:rsid w:val="00473241"/>
    <w:rPr>
      <w:u w:val="single"/>
    </w:rPr>
  </w:style>
  <w:style w:type="paragraph" w:customStyle="1" w:styleId="TableBodyTextRight">
    <w:name w:val="Table Body Text Right"/>
    <w:basedOn w:val="TableBodyText"/>
    <w:rsid w:val="00473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241"/>
    <w:rPr>
      <w:sz w:val="18"/>
    </w:rPr>
  </w:style>
  <w:style w:type="paragraph" w:customStyle="1" w:styleId="BodySmallRight">
    <w:name w:val="Body Small Right"/>
    <w:basedOn w:val="BodyTextRight"/>
    <w:rsid w:val="00473241"/>
    <w:rPr>
      <w:sz w:val="18"/>
      <w:szCs w:val="18"/>
    </w:rPr>
  </w:style>
  <w:style w:type="paragraph" w:customStyle="1" w:styleId="MarginEdition">
    <w:name w:val="Margin Edition"/>
    <w:basedOn w:val="MarginNote"/>
    <w:rsid w:val="00473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241"/>
    <w:rPr>
      <w:sz w:val="2"/>
      <w:szCs w:val="2"/>
    </w:rPr>
  </w:style>
  <w:style w:type="character" w:customStyle="1" w:styleId="Small">
    <w:name w:val="Small"/>
    <w:basedOn w:val="DefaultParagraphFont"/>
    <w:rsid w:val="00473241"/>
    <w:rPr>
      <w:sz w:val="16"/>
    </w:rPr>
  </w:style>
  <w:style w:type="paragraph" w:customStyle="1" w:styleId="WideTable">
    <w:name w:val="Wide Table"/>
    <w:basedOn w:val="Normal"/>
    <w:rsid w:val="00473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241"/>
  </w:style>
  <w:style w:type="paragraph" w:styleId="Quote">
    <w:name w:val="Quote"/>
    <w:basedOn w:val="Heading1"/>
    <w:link w:val="QuoteChar"/>
    <w:qFormat/>
    <w:rsid w:val="00473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241"/>
    <w:pPr>
      <w:pageBreakBefore/>
    </w:pPr>
  </w:style>
  <w:style w:type="paragraph" w:customStyle="1" w:styleId="Border">
    <w:name w:val="Border"/>
    <w:basedOn w:val="Normal"/>
    <w:qFormat/>
    <w:rsid w:val="00473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241"/>
    <w:rPr>
      <w:u w:val="single"/>
    </w:rPr>
  </w:style>
  <w:style w:type="character" w:customStyle="1" w:styleId="BoldandItalics">
    <w:name w:val="Bold and Italics"/>
    <w:qFormat/>
    <w:rsid w:val="00473241"/>
    <w:rPr>
      <w:b/>
      <w:i/>
      <w:u w:val="none"/>
    </w:rPr>
  </w:style>
  <w:style w:type="paragraph" w:styleId="BalloonText">
    <w:name w:val="Balloon Text"/>
    <w:basedOn w:val="Normal"/>
    <w:link w:val="BalloonTextChar"/>
    <w:rsid w:val="00473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241"/>
    <w:pPr>
      <w:spacing w:before="0" w:after="0"/>
    </w:pPr>
  </w:style>
  <w:style w:type="paragraph" w:customStyle="1" w:styleId="BodyTextBold">
    <w:name w:val="Body Text Bold"/>
    <w:basedOn w:val="BodyText"/>
    <w:qFormat/>
    <w:rsid w:val="00473241"/>
    <w:rPr>
      <w:b/>
    </w:rPr>
  </w:style>
  <w:style w:type="character" w:styleId="Hyperlink">
    <w:name w:val="Hyperlink"/>
    <w:basedOn w:val="DefaultParagraphFont"/>
    <w:uiPriority w:val="99"/>
    <w:unhideWhenUsed/>
    <w:rsid w:val="00671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3904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FNSACC512 Prepare tax documentation for individuals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2022-01-27T02:19:00Z</dcterms:created>
  <dcterms:modified xsi:type="dcterms:W3CDTF">2022-01-27T02:19:00Z</dcterms:modified>
</cp:coreProperties>
</file>