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989" w:rsidP="00CD1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FNSACC502 Prepare tax documentation for individuals</w:t>
      </w:r>
      <w:r>
        <w:fldChar w:fldCharType="end"/>
      </w:r>
    </w:p>
    <w:p w:rsidR="00CD1989" w:rsidP="00CD1989">
      <w:pPr>
        <w:pStyle w:val="Version"/>
        <w:sectPr w:rsidSect="00626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C2A" w:rsidP="00626C2A">
      <w:pPr>
        <w:pStyle w:val="SuperHeading"/>
      </w:pPr>
      <w:r w:rsidRPr="00626C2A">
        <w:t>Assessment Requirements for FNSACC502 Prepare tax documentation for individuals</w:t>
      </w:r>
    </w:p>
    <w:p w:rsidR="00000000" w:rsidRPr="00626C2A" w:rsidP="00626C2A">
      <w:pPr>
        <w:pStyle w:val="Heading1"/>
      </w:pPr>
      <w:bookmarkStart w:id="1" w:name="O_671032"/>
      <w:bookmarkEnd w:id="1"/>
      <w:r w:rsidRPr="00626C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6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C2A" w:rsidP="00626C2A">
            <w:pPr>
              <w:pStyle w:val="BodyText"/>
            </w:pPr>
            <w:r w:rsidRPr="00626C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C2A">
            <w:pPr>
              <w:pStyle w:val="BodyText"/>
              <w:rPr>
                <w:lang w:val="en-NZ"/>
              </w:rPr>
            </w:pPr>
            <w:r w:rsidRPr="00626C2A">
              <w:rPr>
                <w:rStyle w:val="SpecialBold"/>
              </w:rPr>
              <w:t>Comments</w:t>
            </w:r>
          </w:p>
        </w:tc>
      </w:tr>
      <w:tr w:rsidTr="00626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C2A">
            <w:pPr>
              <w:pStyle w:val="BodyText"/>
              <w:rPr>
                <w:lang w:val="en-NZ"/>
              </w:rPr>
            </w:pPr>
            <w:r w:rsidRPr="00626C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C2A" w:rsidP="00626C2A">
            <w:pPr>
              <w:pStyle w:val="BodyText"/>
            </w:pPr>
            <w:r w:rsidRPr="00626C2A">
              <w:t>This version first released with FNS Financial Services Training Package Version 1.0.</w:t>
            </w:r>
          </w:p>
        </w:tc>
      </w:tr>
    </w:tbl>
    <w:p w:rsidR="00000000" w:rsidRPr="00626C2A" w:rsidP="00626C2A">
      <w:pPr>
        <w:pStyle w:val="BodyText"/>
      </w:pPr>
    </w:p>
    <w:p w:rsidR="00000000" w:rsidRPr="00626C2A" w:rsidP="00626C2A">
      <w:pPr>
        <w:pStyle w:val="AllowPageBreak"/>
      </w:pPr>
    </w:p>
    <w:p w:rsidR="00000000" w:rsidRPr="00626C2A" w:rsidP="00626C2A">
      <w:pPr>
        <w:pStyle w:val="Heading1"/>
      </w:pPr>
      <w:bookmarkStart w:id="2" w:name="O_671033"/>
      <w:bookmarkEnd w:id="2"/>
      <w:r w:rsidRPr="00626C2A">
        <w:t>Performance Evidence</w:t>
      </w:r>
    </w:p>
    <w:p w:rsidR="00000000" w:rsidRPr="00626C2A" w:rsidP="00CD1989">
      <w:pPr>
        <w:pStyle w:val="BodyText"/>
      </w:pPr>
      <w:r w:rsidRPr="00626C2A">
        <w:t>Evidence of the ability to:</w:t>
      </w:r>
    </w:p>
    <w:p w:rsidR="00000000" w:rsidRPr="00626C2A" w:rsidP="00626C2A">
      <w:pPr>
        <w:pStyle w:val="ListBullet"/>
      </w:pPr>
      <w:r w:rsidRPr="00626C2A">
        <w:t>research, critically evaluate and apply new or changed legislative requirements and apply where relevant to the preparation of the client</w:t>
      </w:r>
      <w:r>
        <w:t>’</w:t>
      </w:r>
      <w:r w:rsidRPr="00626C2A">
        <w:t>s tax documentation</w:t>
      </w:r>
    </w:p>
    <w:p w:rsidR="00000000" w:rsidRPr="00626C2A" w:rsidP="00626C2A">
      <w:pPr>
        <w:pStyle w:val="ListBullet"/>
      </w:pPr>
      <w:r w:rsidRPr="00626C2A">
        <w:t>identify client data required to calculate taxab</w:t>
      </w:r>
      <w:r w:rsidRPr="00626C2A">
        <w:t xml:space="preserve">le income </w:t>
      </w:r>
    </w:p>
    <w:p w:rsidR="00000000" w:rsidRPr="00626C2A" w:rsidP="00626C2A">
      <w:pPr>
        <w:pStyle w:val="ListBullet"/>
      </w:pPr>
      <w:r w:rsidRPr="00626C2A">
        <w:t>prepare tax documentation for an individual that complies with:</w:t>
      </w:r>
    </w:p>
    <w:p w:rsidR="00000000" w:rsidRPr="00626C2A" w:rsidP="00626C2A">
      <w:pPr>
        <w:pStyle w:val="ListBullet2"/>
      </w:pPr>
      <w:r w:rsidRPr="00626C2A">
        <w:t>Australian taxation law and Australian Taxation Office (ATO) rulings</w:t>
      </w:r>
    </w:p>
    <w:p w:rsidR="00000000" w:rsidRPr="00626C2A" w:rsidP="00626C2A">
      <w:pPr>
        <w:pStyle w:val="ListBullet2"/>
      </w:pPr>
      <w:r w:rsidRPr="00626C2A">
        <w:t xml:space="preserve">accounting principles and practices </w:t>
      </w:r>
    </w:p>
    <w:p w:rsidR="00000000" w:rsidRPr="00626C2A" w:rsidP="00626C2A">
      <w:pPr>
        <w:pStyle w:val="ListBullet2"/>
      </w:pPr>
      <w:r w:rsidRPr="00626C2A">
        <w:t xml:space="preserve">organisational policy and procedures </w:t>
      </w:r>
    </w:p>
    <w:p w:rsidR="00000000" w:rsidRPr="00626C2A" w:rsidP="00626C2A">
      <w:pPr>
        <w:pStyle w:val="ListBullet"/>
      </w:pPr>
      <w:r w:rsidRPr="00626C2A">
        <w:t>provide advice to client on tax do</w:t>
      </w:r>
      <w:r w:rsidRPr="00626C2A">
        <w:t>cumentation presented and obtain verification and approval.</w:t>
      </w:r>
    </w:p>
    <w:p w:rsidR="00000000" w:rsidRPr="00626C2A" w:rsidP="00626C2A">
      <w:pPr>
        <w:pStyle w:val="BodyText"/>
      </w:pPr>
    </w:p>
    <w:p w:rsidR="00000000" w:rsidRPr="00626C2A" w:rsidP="00CD1989">
      <w:pPr>
        <w:pStyle w:val="BodyText"/>
      </w:pPr>
      <w:r w:rsidRPr="00626C2A">
        <w:t>Note: If a specific volume or frequency is not stated, then evidence must be provided at least once.</w:t>
      </w:r>
    </w:p>
    <w:p w:rsidR="00000000" w:rsidRPr="00626C2A" w:rsidP="00626C2A">
      <w:pPr>
        <w:pStyle w:val="Heading1"/>
      </w:pPr>
      <w:bookmarkStart w:id="3" w:name="O_671034"/>
      <w:bookmarkEnd w:id="3"/>
      <w:r w:rsidRPr="00626C2A">
        <w:t>Knowledge Evidence</w:t>
      </w:r>
    </w:p>
    <w:p w:rsidR="00000000" w:rsidRPr="00626C2A" w:rsidP="00CD1989">
      <w:pPr>
        <w:pStyle w:val="BodyText"/>
      </w:pPr>
      <w:r w:rsidRPr="00626C2A">
        <w:t xml:space="preserve">To complete the unit requirements safely and effectively, </w:t>
      </w:r>
      <w:r w:rsidRPr="00626C2A">
        <w:t>the individual must:</w:t>
      </w:r>
    </w:p>
    <w:p w:rsidR="00000000" w:rsidRPr="00626C2A" w:rsidP="00626C2A">
      <w:pPr>
        <w:pStyle w:val="ListBullet"/>
      </w:pPr>
      <w:r w:rsidRPr="00626C2A">
        <w:t>identify and explain ethical considerations and legislative requirements relevant to the preparation of tax documentation for individual taxpayers, including:</w:t>
      </w:r>
    </w:p>
    <w:p w:rsidR="00000000" w:rsidRPr="00626C2A" w:rsidP="00626C2A">
      <w:pPr>
        <w:pStyle w:val="ListBullet2"/>
      </w:pPr>
      <w:r w:rsidRPr="00626C2A">
        <w:t>conflict of interest</w:t>
      </w:r>
    </w:p>
    <w:p w:rsidR="00000000" w:rsidRPr="00626C2A" w:rsidP="00626C2A">
      <w:pPr>
        <w:pStyle w:val="ListBullet2"/>
      </w:pPr>
      <w:r w:rsidRPr="00626C2A">
        <w:t>responsibilities of tax agents including Code of Prof</w:t>
      </w:r>
      <w:r w:rsidRPr="00626C2A">
        <w:t>essional Conduct obligations under the Tax Agent Services Act (TASA) and Tax Agent Services Regulations (TASR)</w:t>
      </w:r>
    </w:p>
    <w:p w:rsidR="00000000" w:rsidRPr="00626C2A" w:rsidP="00626C2A">
      <w:pPr>
        <w:pStyle w:val="ListBullet"/>
      </w:pPr>
      <w:r w:rsidRPr="00626C2A">
        <w:t>identify and explain the following key elements of Australian tax law as it relates to tax documentation for individual taxpayers:</w:t>
      </w:r>
    </w:p>
    <w:p w:rsidR="00000000" w:rsidRPr="00626C2A" w:rsidP="00626C2A">
      <w:pPr>
        <w:pStyle w:val="ListBullet2"/>
      </w:pPr>
      <w:r w:rsidRPr="00626C2A">
        <w:t>the rules an</w:t>
      </w:r>
      <w:r w:rsidRPr="00626C2A">
        <w:t>d principles of Australian tax law including an understanding of the legal environment in which these principles operate, basics of the legal system, constitutional considerations and separation of powers</w:t>
      </w:r>
    </w:p>
    <w:p w:rsidR="00000000" w:rsidRPr="00626C2A" w:rsidP="00626C2A">
      <w:pPr>
        <w:pStyle w:val="ListBullet2"/>
      </w:pPr>
      <w:r w:rsidRPr="00626C2A">
        <w:t>key aspects of the income tax law covering concepts</w:t>
      </w:r>
      <w:r w:rsidRPr="00626C2A">
        <w:t xml:space="preserve"> of: </w:t>
      </w:r>
    </w:p>
    <w:p w:rsidR="00000000" w:rsidRPr="00626C2A" w:rsidP="00626C2A">
      <w:pPr>
        <w:pStyle w:val="ListBullet3"/>
      </w:pPr>
      <w:r w:rsidRPr="00626C2A">
        <w:t xml:space="preserve">residence and source </w:t>
      </w:r>
    </w:p>
    <w:p w:rsidR="00000000" w:rsidRPr="00626C2A" w:rsidP="00626C2A">
      <w:pPr>
        <w:pStyle w:val="ListBullet3"/>
      </w:pPr>
      <w:r w:rsidRPr="00626C2A">
        <w:t xml:space="preserve">related elements of international tax </w:t>
      </w:r>
    </w:p>
    <w:p w:rsidR="00000000" w:rsidRPr="00626C2A" w:rsidP="00626C2A">
      <w:pPr>
        <w:pStyle w:val="ListBullet3"/>
      </w:pPr>
      <w:r w:rsidRPr="00626C2A">
        <w:t xml:space="preserve">assessable income </w:t>
      </w:r>
    </w:p>
    <w:p w:rsidR="00000000" w:rsidRPr="00626C2A" w:rsidP="00626C2A">
      <w:pPr>
        <w:pStyle w:val="ListBullet3"/>
      </w:pPr>
      <w:r w:rsidRPr="00626C2A">
        <w:t xml:space="preserve">deductions (including general, specific and decline in value) </w:t>
      </w:r>
    </w:p>
    <w:p w:rsidR="00000000" w:rsidRPr="00626C2A" w:rsidP="00626C2A">
      <w:pPr>
        <w:pStyle w:val="ListBullet3"/>
      </w:pPr>
      <w:r w:rsidRPr="00626C2A">
        <w:t xml:space="preserve">tax rebates and offsets </w:t>
      </w:r>
    </w:p>
    <w:p w:rsidR="00000000" w:rsidRPr="00626C2A" w:rsidP="00626C2A">
      <w:pPr>
        <w:pStyle w:val="ListBullet3"/>
      </w:pPr>
      <w:r w:rsidRPr="00626C2A">
        <w:t xml:space="preserve">tax accounting </w:t>
      </w:r>
    </w:p>
    <w:p w:rsidR="00000000" w:rsidRPr="00626C2A" w:rsidP="00626C2A">
      <w:pPr>
        <w:pStyle w:val="ListBullet3"/>
      </w:pPr>
      <w:r w:rsidRPr="00626C2A">
        <w:t>income test definitions that include reportable superannuation and fringe benefits tax (FBT)</w:t>
      </w:r>
    </w:p>
    <w:p w:rsidR="00000000" w:rsidRPr="00626C2A" w:rsidP="00626C2A">
      <w:pPr>
        <w:pStyle w:val="ListBullet2"/>
      </w:pPr>
      <w:r w:rsidRPr="00626C2A">
        <w:t>key aspects of relevant principles ad application of the capital gains tax (CGT), FBT and termination payment rules for individual taxpayers</w:t>
      </w:r>
    </w:p>
    <w:p w:rsidR="00000000" w:rsidRPr="00626C2A" w:rsidP="00626C2A">
      <w:pPr>
        <w:pStyle w:val="ListBullet2"/>
      </w:pPr>
      <w:r w:rsidRPr="00626C2A">
        <w:t>basic concept of good</w:t>
      </w:r>
      <w:r w:rsidRPr="00626C2A">
        <w:t>s and services tax (GST)</w:t>
      </w:r>
    </w:p>
    <w:p w:rsidR="00000000" w:rsidRPr="00626C2A" w:rsidP="00626C2A">
      <w:pPr>
        <w:pStyle w:val="ListBullet2"/>
      </w:pPr>
      <w:r w:rsidRPr="00626C2A">
        <w:t>administrative aspects of the taxes identified above including documentation, tax collection and withholding mechanisms, assessments, obligations, rulings, penalties and audits</w:t>
      </w:r>
    </w:p>
    <w:p w:rsidR="00000000" w:rsidRPr="00626C2A" w:rsidP="00626C2A">
      <w:pPr>
        <w:pStyle w:val="ListBullet2"/>
      </w:pPr>
      <w:r w:rsidRPr="00626C2A">
        <w:t>specific and general anti-avoidance tax rules for indi</w:t>
      </w:r>
      <w:r w:rsidRPr="00626C2A">
        <w:t>viduals</w:t>
      </w:r>
    </w:p>
    <w:p w:rsidR="00000000" w:rsidRPr="00626C2A" w:rsidP="00626C2A">
      <w:pPr>
        <w:pStyle w:val="ListBullet"/>
      </w:pPr>
      <w:r w:rsidRPr="00626C2A">
        <w:t>describe the key sources of information and data required to calculate taxable income</w:t>
      </w:r>
    </w:p>
    <w:p w:rsidR="00000000" w:rsidRPr="00626C2A" w:rsidP="00626C2A">
      <w:pPr>
        <w:pStyle w:val="ListBullet"/>
      </w:pPr>
      <w:r w:rsidRPr="00626C2A">
        <w:t>describe the key features of organisational policy and procedures relating to the preparation of tax documentation for individual taxpayers</w:t>
      </w:r>
    </w:p>
    <w:p w:rsidR="00CD1989" w:rsidP="00626C2A">
      <w:pPr>
        <w:pStyle w:val="ListBullet"/>
      </w:pPr>
      <w:r w:rsidRPr="00626C2A">
        <w:t>outline the key accounting principles and practices relevant to the preparation of tax documentation for individual taxpayers.</w:t>
      </w:r>
    </w:p>
    <w:p w:rsidR="00CD1989" w:rsidP="00626C2A">
      <w:pPr>
        <w:pStyle w:val="ListBullet"/>
      </w:pPr>
    </w:p>
    <w:p w:rsidR="00000000" w:rsidRPr="00626C2A" w:rsidP="00626C2A">
      <w:pPr>
        <w:pStyle w:val="Heading1"/>
      </w:pPr>
      <w:bookmarkStart w:id="4" w:name="O_671035"/>
      <w:bookmarkEnd w:id="4"/>
      <w:r w:rsidRPr="00626C2A">
        <w:t>Assessment Conditions</w:t>
      </w:r>
    </w:p>
    <w:p w:rsidR="00000000" w:rsidRPr="00626C2A" w:rsidP="00CD1989">
      <w:pPr>
        <w:pStyle w:val="BodyText"/>
      </w:pPr>
      <w:r w:rsidRPr="00626C2A">
        <w:t>Assessment must be conducted in a safe environment where evidence gathered demonstrates c</w:t>
      </w:r>
      <w:r w:rsidRPr="00626C2A">
        <w:t>onsistent performance of typical activities experienced in the accounting field of work and include access to:</w:t>
      </w:r>
    </w:p>
    <w:p w:rsidR="00000000" w:rsidRPr="00626C2A" w:rsidP="00626C2A">
      <w:pPr>
        <w:pStyle w:val="ListBullet"/>
      </w:pPr>
      <w:r w:rsidRPr="00626C2A">
        <w:t>common office equipment, technology, software and consumables.</w:t>
      </w:r>
    </w:p>
    <w:p w:rsidR="00000000" w:rsidRPr="00626C2A" w:rsidP="00626C2A">
      <w:pPr>
        <w:pStyle w:val="BodyText"/>
      </w:pPr>
    </w:p>
    <w:p w:rsidR="00000000" w:rsidRPr="00626C2A" w:rsidP="00CD1989">
      <w:pPr>
        <w:pStyle w:val="BodyText"/>
      </w:pPr>
      <w:r w:rsidRPr="00626C2A">
        <w:t>Assessors must satisfy NVR/AQTF assessor requirements.</w:t>
      </w:r>
    </w:p>
    <w:p w:rsidR="00000000" w:rsidRPr="00626C2A" w:rsidP="00CD1989">
      <w:pPr>
        <w:pStyle w:val="BodyText"/>
      </w:pPr>
      <w:r w:rsidRPr="00626C2A">
        <w:t>This unit is designed to</w:t>
      </w:r>
      <w:r w:rsidRPr="00626C2A">
        <w:t xml:space="preserve"> meet the education requirements of the Tax Practitioner Board (TPB). Where registration with the TPB is sought, assessment must reflect the conditions described by the regulator which stipulate that a significant amount (at least 40%) must be completed un</w:t>
      </w:r>
      <w:r w:rsidRPr="00626C2A">
        <w:t xml:space="preserve">der some form of independent supervision. Where recognition of prior learning (RPL) is used, it must also meet the requirements of the Board’s policy on RPL. </w:t>
      </w:r>
    </w:p>
    <w:p w:rsidR="00000000" w:rsidRPr="00626C2A" w:rsidP="00CD1989">
      <w:pPr>
        <w:pStyle w:val="BodyText"/>
      </w:pPr>
      <w:r w:rsidRPr="00626C2A">
        <w:t xml:space="preserve">Details of requirements can be accessed on the TPB website at: </w:t>
      </w:r>
      <w:r>
        <w:fldChar w:fldCharType="begin"/>
      </w:r>
      <w:r>
        <w:instrText xml:space="preserve"> HYPERLINK "http://www.tpb.gov.au" </w:instrText>
      </w:r>
      <w:r>
        <w:fldChar w:fldCharType="separate"/>
      </w:r>
      <w:r w:rsidRPr="0068560B">
        <w:rPr>
          <w:rStyle w:val="Hyperlink"/>
        </w:rPr>
        <w:t>http://www.tpb.gov.au</w:t>
      </w:r>
      <w:r>
        <w:fldChar w:fldCharType="end"/>
      </w:r>
    </w:p>
    <w:p w:rsidR="00000000" w:rsidRPr="00626C2A" w:rsidP="00626C2A">
      <w:pPr>
        <w:pStyle w:val="Heading1"/>
      </w:pPr>
      <w:bookmarkStart w:id="5" w:name="O_671038"/>
      <w:bookmarkEnd w:id="5"/>
      <w:r w:rsidRPr="00626C2A">
        <w:t>Links</w:t>
      </w:r>
    </w:p>
    <w:p w:rsidR="00000000" w:rsidRPr="00626C2A" w:rsidP="00CD1989">
      <w:pPr>
        <w:pStyle w:val="BodyText"/>
      </w:pPr>
      <w:r w:rsidRPr="00626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856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26C2A" w:rsidP="00626C2A"/>
    <w:sectPr w:rsidSect="00626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2A" w:rsidRPr="00CD1989" w:rsidP="00CD1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89" w:rsidP="00626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989" w:rsidP="00626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1989" w:rsidP="00626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C2A" w:rsidRPr="00CD1989" w:rsidP="00CD19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989" w:rsidRPr="002D2AF8" w:rsidP="00626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FNSACC502 Prepare tax documentation for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D1989" w:rsidP="00626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204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B4B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3C3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C2A"/>
  </w:style>
  <w:style w:type="character" w:customStyle="1" w:styleId="Heading1Char">
    <w:name w:val="Heading 1 Char"/>
    <w:basedOn w:val="DefaultParagraphFont"/>
    <w:link w:val="Heading1"/>
    <w:rsid w:val="00626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C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C2A"/>
    <w:rPr>
      <w:b/>
      <w:spacing w:val="0"/>
    </w:rPr>
  </w:style>
  <w:style w:type="paragraph" w:styleId="ListBullet2">
    <w:name w:val="List Bullet 2"/>
    <w:basedOn w:val="List2"/>
    <w:rsid w:val="00626C2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6C2A"/>
    <w:rPr>
      <w:i/>
    </w:rPr>
  </w:style>
  <w:style w:type="paragraph" w:customStyle="1" w:styleId="SuperHeading">
    <w:name w:val="SuperHeading"/>
    <w:basedOn w:val="Normal"/>
    <w:rsid w:val="00626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6C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6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C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6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C2A"/>
  </w:style>
  <w:style w:type="paragraph" w:styleId="TableofFigures">
    <w:name w:val="table of figures"/>
    <w:basedOn w:val="Normal"/>
    <w:next w:val="Normal"/>
    <w:semiHidden/>
    <w:rsid w:val="00626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C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6C2A"/>
    <w:rPr>
      <w:rFonts w:ascii="Wingdings" w:hAnsi="Wingdings"/>
    </w:rPr>
  </w:style>
  <w:style w:type="paragraph" w:customStyle="1" w:styleId="TableHeading">
    <w:name w:val="Table Heading"/>
    <w:basedOn w:val="HeadingBase"/>
    <w:rsid w:val="00626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C2A"/>
    <w:rPr>
      <w:color w:val="0033CC"/>
      <w:u w:val="none"/>
    </w:rPr>
  </w:style>
  <w:style w:type="paragraph" w:customStyle="1" w:styleId="BodyTextRight">
    <w:name w:val="Body Text Right"/>
    <w:basedOn w:val="BodyText"/>
    <w:rsid w:val="00626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C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C2A"/>
    <w:rPr>
      <w:sz w:val="32"/>
    </w:rPr>
  </w:style>
  <w:style w:type="paragraph" w:customStyle="1" w:styleId="HeadingProcedure">
    <w:name w:val="Heading Procedure"/>
    <w:basedOn w:val="HeadingBase"/>
    <w:next w:val="Normal"/>
    <w:rsid w:val="00626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C2A"/>
    <w:pPr>
      <w:spacing w:before="60" w:after="60"/>
    </w:pPr>
  </w:style>
  <w:style w:type="paragraph" w:styleId="ListContinue">
    <w:name w:val="List Continue"/>
    <w:basedOn w:val="List"/>
    <w:rsid w:val="00626C2A"/>
    <w:pPr>
      <w:ind w:firstLine="0"/>
    </w:pPr>
  </w:style>
  <w:style w:type="paragraph" w:customStyle="1" w:styleId="ListNote">
    <w:name w:val="List Note"/>
    <w:basedOn w:val="List"/>
    <w:rsid w:val="00626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C2A"/>
    <w:rPr>
      <w:rFonts w:ascii="Courier New" w:hAnsi="Courier New"/>
    </w:rPr>
  </w:style>
  <w:style w:type="paragraph" w:customStyle="1" w:styleId="NoteBullet">
    <w:name w:val="Note Bullet"/>
    <w:basedOn w:val="Note"/>
    <w:rsid w:val="00626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C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6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C2A"/>
    <w:rPr>
      <w:b/>
      <w:smallCaps/>
    </w:rPr>
  </w:style>
  <w:style w:type="paragraph" w:customStyle="1" w:styleId="TableListNumber">
    <w:name w:val="Table List Number"/>
    <w:basedOn w:val="ListNumber"/>
    <w:rsid w:val="00626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C2A"/>
    <w:pPr>
      <w:numPr>
        <w:numId w:val="10"/>
      </w:numPr>
    </w:pPr>
  </w:style>
  <w:style w:type="paragraph" w:customStyle="1" w:styleId="ListAlpha2">
    <w:name w:val="List Alpha 2"/>
    <w:basedOn w:val="List2"/>
    <w:rsid w:val="00626C2A"/>
    <w:pPr>
      <w:numPr>
        <w:numId w:val="9"/>
      </w:numPr>
    </w:pPr>
  </w:style>
  <w:style w:type="paragraph" w:styleId="List2">
    <w:name w:val="List 2"/>
    <w:basedOn w:val="BodyText"/>
    <w:rsid w:val="00626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C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6C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6C2A"/>
    <w:pPr>
      <w:numPr>
        <w:numId w:val="5"/>
      </w:numPr>
    </w:pPr>
  </w:style>
  <w:style w:type="paragraph" w:styleId="ListContinue2">
    <w:name w:val="List Continue 2"/>
    <w:basedOn w:val="List2"/>
    <w:rsid w:val="00626C2A"/>
    <w:pPr>
      <w:ind w:firstLine="0"/>
    </w:pPr>
  </w:style>
  <w:style w:type="paragraph" w:styleId="ListContinue3">
    <w:name w:val="List Continue 3"/>
    <w:basedOn w:val="List3"/>
    <w:rsid w:val="00626C2A"/>
    <w:pPr>
      <w:ind w:left="1021" w:firstLine="0"/>
    </w:pPr>
  </w:style>
  <w:style w:type="paragraph" w:styleId="ListContinue4">
    <w:name w:val="List Continue 4"/>
    <w:basedOn w:val="List4"/>
    <w:rsid w:val="00626C2A"/>
    <w:pPr>
      <w:ind w:firstLine="0"/>
    </w:pPr>
  </w:style>
  <w:style w:type="paragraph" w:styleId="ListContinue5">
    <w:name w:val="List Continue 5"/>
    <w:basedOn w:val="List5"/>
    <w:rsid w:val="00626C2A"/>
    <w:pPr>
      <w:ind w:firstLine="0"/>
    </w:pPr>
  </w:style>
  <w:style w:type="paragraph" w:styleId="ListNumber3">
    <w:name w:val="List Number 3"/>
    <w:basedOn w:val="List3"/>
    <w:rsid w:val="00626C2A"/>
    <w:pPr>
      <w:numPr>
        <w:numId w:val="6"/>
      </w:numPr>
    </w:pPr>
  </w:style>
  <w:style w:type="paragraph" w:styleId="ListNumber4">
    <w:name w:val="List Number 4"/>
    <w:basedOn w:val="List4"/>
    <w:rsid w:val="00626C2A"/>
    <w:pPr>
      <w:numPr>
        <w:numId w:val="7"/>
      </w:numPr>
    </w:pPr>
  </w:style>
  <w:style w:type="paragraph" w:styleId="ListNumber5">
    <w:name w:val="List Number 5"/>
    <w:basedOn w:val="List5"/>
    <w:rsid w:val="00626C2A"/>
    <w:pPr>
      <w:numPr>
        <w:numId w:val="8"/>
      </w:numPr>
    </w:pPr>
  </w:style>
  <w:style w:type="paragraph" w:styleId="BlockText">
    <w:name w:val="Block Text"/>
    <w:basedOn w:val="Normal"/>
    <w:rsid w:val="00626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C2A"/>
    <w:rPr>
      <w:sz w:val="16"/>
      <w:vertAlign w:val="superscript"/>
    </w:rPr>
  </w:style>
  <w:style w:type="character" w:customStyle="1" w:styleId="Symbols">
    <w:name w:val="Symbols"/>
    <w:basedOn w:val="DefaultParagraphFont"/>
    <w:rsid w:val="00626C2A"/>
    <w:rPr>
      <w:rFonts w:ascii="Symbol" w:hAnsi="Symbol"/>
    </w:rPr>
  </w:style>
  <w:style w:type="character" w:customStyle="1" w:styleId="MenuOptions">
    <w:name w:val="Menu Options"/>
    <w:basedOn w:val="DefaultParagraphFont"/>
    <w:rsid w:val="00626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C2A"/>
    <w:rPr>
      <w:b/>
    </w:rPr>
  </w:style>
  <w:style w:type="character" w:customStyle="1" w:styleId="Underlined">
    <w:name w:val="Underlined"/>
    <w:basedOn w:val="DefaultParagraphFont"/>
    <w:rsid w:val="00626C2A"/>
    <w:rPr>
      <w:u w:val="single"/>
    </w:rPr>
  </w:style>
  <w:style w:type="paragraph" w:customStyle="1" w:styleId="TableBodyTextRight">
    <w:name w:val="Table Body Text Right"/>
    <w:basedOn w:val="TableBodyText"/>
    <w:rsid w:val="00626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C2A"/>
    <w:rPr>
      <w:sz w:val="18"/>
    </w:rPr>
  </w:style>
  <w:style w:type="paragraph" w:customStyle="1" w:styleId="BodySmallRight">
    <w:name w:val="Body Small Right"/>
    <w:basedOn w:val="BodyTextRight"/>
    <w:rsid w:val="00626C2A"/>
    <w:rPr>
      <w:sz w:val="18"/>
      <w:szCs w:val="18"/>
    </w:rPr>
  </w:style>
  <w:style w:type="paragraph" w:customStyle="1" w:styleId="MarginEdition">
    <w:name w:val="Margin Edition"/>
    <w:basedOn w:val="MarginNote"/>
    <w:rsid w:val="00626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C2A"/>
    <w:rPr>
      <w:sz w:val="2"/>
      <w:szCs w:val="2"/>
    </w:rPr>
  </w:style>
  <w:style w:type="character" w:customStyle="1" w:styleId="Small">
    <w:name w:val="Small"/>
    <w:basedOn w:val="DefaultParagraphFont"/>
    <w:rsid w:val="00626C2A"/>
    <w:rPr>
      <w:sz w:val="16"/>
    </w:rPr>
  </w:style>
  <w:style w:type="paragraph" w:customStyle="1" w:styleId="WideTable">
    <w:name w:val="Wide Table"/>
    <w:basedOn w:val="Normal"/>
    <w:rsid w:val="00626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C2A"/>
  </w:style>
  <w:style w:type="paragraph" w:styleId="Quote">
    <w:name w:val="Quote"/>
    <w:basedOn w:val="Heading1"/>
    <w:link w:val="QuoteChar"/>
    <w:qFormat/>
    <w:rsid w:val="00626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C2A"/>
    <w:pPr>
      <w:pageBreakBefore/>
    </w:pPr>
  </w:style>
  <w:style w:type="paragraph" w:customStyle="1" w:styleId="Border">
    <w:name w:val="Border"/>
    <w:basedOn w:val="Normal"/>
    <w:qFormat/>
    <w:rsid w:val="00626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C2A"/>
    <w:rPr>
      <w:u w:val="single"/>
    </w:rPr>
  </w:style>
  <w:style w:type="character" w:customStyle="1" w:styleId="BoldandItalics">
    <w:name w:val="Bold and Italics"/>
    <w:qFormat/>
    <w:rsid w:val="00626C2A"/>
    <w:rPr>
      <w:b/>
      <w:i/>
      <w:u w:val="none"/>
    </w:rPr>
  </w:style>
  <w:style w:type="paragraph" w:styleId="BalloonText">
    <w:name w:val="Balloon Text"/>
    <w:basedOn w:val="Normal"/>
    <w:link w:val="BalloonTextChar"/>
    <w:rsid w:val="00626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C2A"/>
    <w:pPr>
      <w:spacing w:before="0" w:after="0"/>
    </w:pPr>
  </w:style>
  <w:style w:type="paragraph" w:customStyle="1" w:styleId="BodyTextBold">
    <w:name w:val="Body Text Bold"/>
    <w:basedOn w:val="BodyText"/>
    <w:qFormat/>
    <w:rsid w:val="00626C2A"/>
    <w:rPr>
      <w:b/>
    </w:rPr>
  </w:style>
  <w:style w:type="character" w:styleId="Hyperlink">
    <w:name w:val="Hyperlink"/>
    <w:basedOn w:val="DefaultParagraphFont"/>
    <w:uiPriority w:val="99"/>
    <w:unhideWhenUsed/>
    <w:rsid w:val="00CD1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3554</Characters>
  <Application>Microsoft Office Word</Application>
  <DocSecurity>0</DocSecurity>
  <Lines>88</Lines>
  <Paragraphs>57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FNSACC502 Prepare tax documentation for individuals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2022-04-04T01:49:00Z</dcterms:created>
  <dcterms:modified xsi:type="dcterms:W3CDTF">2022-04-04T01:49:00Z</dcterms:modified>
</cp:coreProperties>
</file>