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A8C" w:rsidP="00166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FNSACC414 Prepare financial statements for non-reporting entities</w:t>
      </w:r>
      <w:r>
        <w:fldChar w:fldCharType="end"/>
      </w:r>
    </w:p>
    <w:p w:rsidR="00166A8C" w:rsidP="00166A8C">
      <w:pPr>
        <w:pStyle w:val="Version"/>
        <w:sectPr w:rsidSect="00B57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4C1" w:rsidP="00B574C1">
      <w:pPr>
        <w:pStyle w:val="SuperHeading"/>
      </w:pPr>
      <w:r w:rsidRPr="00B574C1">
        <w:t>Assessment Requirements for FNSACC414 Prepare financial statements for non-reporting entities</w:t>
      </w:r>
    </w:p>
    <w:p w:rsidR="00000000" w:rsidRPr="00B574C1" w:rsidP="00B574C1">
      <w:pPr>
        <w:pStyle w:val="Heading1"/>
      </w:pPr>
      <w:bookmarkStart w:id="1" w:name="O_975767"/>
      <w:bookmarkEnd w:id="1"/>
      <w:r w:rsidRPr="00B57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B57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C1" w:rsidP="00B574C1">
            <w:pPr>
              <w:pStyle w:val="BodyText"/>
            </w:pPr>
            <w:r w:rsidRPr="00B574C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C1">
            <w:pPr>
              <w:pStyle w:val="BodyText"/>
              <w:rPr>
                <w:lang w:val="en-NZ"/>
              </w:rPr>
            </w:pPr>
            <w:r w:rsidRPr="00B574C1">
              <w:rPr>
                <w:rStyle w:val="SpecialBold"/>
              </w:rPr>
              <w:t>Comments</w:t>
            </w:r>
          </w:p>
        </w:tc>
      </w:tr>
      <w:tr w:rsidTr="00B57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C1">
            <w:pPr>
              <w:pStyle w:val="BodyText"/>
              <w:rPr>
                <w:lang w:val="en-NZ"/>
              </w:rPr>
            </w:pPr>
            <w:r w:rsidRPr="00B574C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C1" w:rsidP="00B574C1">
            <w:pPr>
              <w:pStyle w:val="BodyText"/>
            </w:pPr>
            <w:r w:rsidRPr="00B574C1">
              <w:t>This version first released with FNS Financial Services Training Package Version 3.0.</w:t>
            </w:r>
          </w:p>
        </w:tc>
      </w:tr>
    </w:tbl>
    <w:p w:rsidR="00166A8C" w:rsidP="00B574C1">
      <w:pPr>
        <w:pStyle w:val="BodyText"/>
      </w:pPr>
    </w:p>
    <w:p w:rsidR="00166A8C" w:rsidP="00B574C1">
      <w:pPr>
        <w:pStyle w:val="BodyText"/>
      </w:pPr>
    </w:p>
    <w:p w:rsidR="00000000" w:rsidRPr="00B574C1" w:rsidP="00B574C1">
      <w:pPr>
        <w:pStyle w:val="Heading1"/>
      </w:pPr>
      <w:bookmarkStart w:id="2" w:name="O_975768"/>
      <w:bookmarkEnd w:id="2"/>
      <w:r w:rsidRPr="00B574C1">
        <w:t>Performance Evidence</w:t>
      </w:r>
    </w:p>
    <w:p w:rsidR="00000000" w:rsidRPr="00B574C1" w:rsidP="00166A8C">
      <w:pPr>
        <w:pStyle w:val="BodyText"/>
      </w:pPr>
      <w:r w:rsidRPr="00B574C1">
        <w:t>Evidence of the ability to:</w:t>
      </w:r>
    </w:p>
    <w:p w:rsidR="00000000" w:rsidRPr="00B574C1" w:rsidP="00B574C1">
      <w:pPr>
        <w:pStyle w:val="ListBullet"/>
      </w:pPr>
      <w:r w:rsidRPr="00B574C1">
        <w:t>access, analyse and compile required financial data for non-reporting entities</w:t>
      </w:r>
    </w:p>
    <w:p w:rsidR="00000000" w:rsidRPr="00B574C1" w:rsidP="00B574C1">
      <w:pPr>
        <w:pStyle w:val="ListBullet"/>
      </w:pPr>
      <w:r w:rsidRPr="00B574C1">
        <w:t>calculate financial ratios for liquidity, activity and profitability, and analyse the significance of those cal</w:t>
      </w:r>
      <w:r w:rsidRPr="00B574C1">
        <w:t>culations</w:t>
      </w:r>
    </w:p>
    <w:p w:rsidR="00000000" w:rsidRPr="00B574C1" w:rsidP="00B574C1">
      <w:pPr>
        <w:pStyle w:val="ListBullet"/>
      </w:pPr>
      <w:r w:rsidRPr="00B574C1">
        <w:t>prepare financial accounts and comprehensive statements showing financial position, performance and cash flow for:</w:t>
      </w:r>
    </w:p>
    <w:p w:rsidR="00000000" w:rsidRPr="00B574C1" w:rsidP="00B574C1">
      <w:pPr>
        <w:pStyle w:val="ListBullet2"/>
      </w:pPr>
      <w:r w:rsidRPr="00B574C1">
        <w:t>a partnership</w:t>
      </w:r>
    </w:p>
    <w:p w:rsidR="00000000" w:rsidRPr="00B574C1" w:rsidP="00B574C1">
      <w:pPr>
        <w:pStyle w:val="ListBullet2"/>
      </w:pPr>
      <w:r w:rsidRPr="00B574C1">
        <w:t>a not-for-profit organisation.</w:t>
      </w:r>
    </w:p>
    <w:p w:rsidR="00000000" w:rsidRPr="00B574C1" w:rsidP="00B574C1">
      <w:pPr>
        <w:pStyle w:val="BodyText"/>
      </w:pPr>
    </w:p>
    <w:p w:rsidR="00166A8C" w:rsidP="00166A8C">
      <w:pPr>
        <w:pStyle w:val="BodyText"/>
      </w:pPr>
      <w:r w:rsidRPr="00B574C1">
        <w:t>Note: If a specific volume or frequency is not stated, then evidence must be provided at least once.</w:t>
      </w:r>
    </w:p>
    <w:p w:rsidR="00000000" w:rsidRPr="00B574C1" w:rsidP="00B574C1">
      <w:pPr>
        <w:pStyle w:val="Heading1"/>
      </w:pPr>
      <w:bookmarkStart w:id="3" w:name="O_975769"/>
      <w:bookmarkEnd w:id="3"/>
      <w:r w:rsidRPr="00B574C1">
        <w:t>Knowledge Evidence</w:t>
      </w:r>
    </w:p>
    <w:p w:rsidR="00000000" w:rsidRPr="00B574C1" w:rsidP="00166A8C">
      <w:pPr>
        <w:pStyle w:val="BodyText"/>
      </w:pPr>
      <w:r w:rsidRPr="00B574C1">
        <w:t>The candidate must be able to demonstrate the following knowledge to effectively complete the tasks outlined in the el</w:t>
      </w:r>
      <w:r w:rsidRPr="00B574C1">
        <w:t>ements and performance criteria of this unit, and to manage tasks and reasonably foreseeable contingencies in the context of the work role.</w:t>
      </w:r>
    </w:p>
    <w:p w:rsidR="00000000" w:rsidRPr="00B574C1" w:rsidP="00B574C1">
      <w:pPr>
        <w:pStyle w:val="ListBullet"/>
      </w:pPr>
      <w:r w:rsidRPr="00B574C1">
        <w:t>Differences between non-reporting entities and reporting entities</w:t>
      </w:r>
    </w:p>
    <w:p w:rsidR="00000000" w:rsidRPr="00B574C1" w:rsidP="00B574C1">
      <w:pPr>
        <w:pStyle w:val="ListBullet"/>
      </w:pPr>
      <w:r w:rsidRPr="00B574C1">
        <w:t>Different types of non-reporting entities and the</w:t>
      </w:r>
      <w:r w:rsidRPr="00B574C1">
        <w:t>ir key characteristics</w:t>
      </w:r>
    </w:p>
    <w:p w:rsidR="00000000" w:rsidRPr="00B574C1" w:rsidP="00B574C1">
      <w:pPr>
        <w:pStyle w:val="ListBullet"/>
      </w:pPr>
      <w:r w:rsidRPr="00B574C1">
        <w:t>Purpose of preparing financial statements for non-reporting entities</w:t>
      </w:r>
    </w:p>
    <w:p w:rsidR="00000000" w:rsidRPr="00B574C1" w:rsidP="00B574C1">
      <w:pPr>
        <w:pStyle w:val="ListBullet"/>
      </w:pPr>
      <w:r w:rsidRPr="00B574C1">
        <w:t>Key features of organisational guidelines and procedures relating to preparing financial statements for non-reporting entities</w:t>
      </w:r>
    </w:p>
    <w:p w:rsidR="00000000" w:rsidRPr="00B574C1" w:rsidP="00B574C1">
      <w:pPr>
        <w:pStyle w:val="ListBullet"/>
      </w:pPr>
      <w:r w:rsidRPr="00B574C1">
        <w:t>Key features of financial legislation</w:t>
      </w:r>
      <w:r w:rsidRPr="00B574C1">
        <w:t xml:space="preserve"> covering:</w:t>
      </w:r>
    </w:p>
    <w:p w:rsidR="00000000" w:rsidRPr="00B574C1" w:rsidP="00B574C1">
      <w:pPr>
        <w:pStyle w:val="ListBullet2"/>
      </w:pPr>
      <w:r w:rsidRPr="00B574C1">
        <w:t>taxable transactions</w:t>
      </w:r>
    </w:p>
    <w:p w:rsidR="00000000" w:rsidRPr="00B574C1" w:rsidP="00B574C1">
      <w:pPr>
        <w:pStyle w:val="ListBullet2"/>
      </w:pPr>
      <w:r w:rsidRPr="00B574C1">
        <w:t>reporting requirements</w:t>
      </w:r>
    </w:p>
    <w:p w:rsidR="00000000" w:rsidRPr="00B574C1" w:rsidP="00B574C1">
      <w:pPr>
        <w:pStyle w:val="ListBullet"/>
      </w:pPr>
      <w:r w:rsidRPr="00B574C1">
        <w:t>Advantages and disadvantages of:</w:t>
      </w:r>
    </w:p>
    <w:p w:rsidR="00000000" w:rsidRPr="00B574C1" w:rsidP="00B574C1">
      <w:pPr>
        <w:pStyle w:val="ListBullet2"/>
      </w:pPr>
      <w:r w:rsidRPr="00B574C1">
        <w:t>ratios and comparison techniques</w:t>
      </w:r>
    </w:p>
    <w:p w:rsidR="00166A8C" w:rsidP="00B574C1">
      <w:pPr>
        <w:pStyle w:val="ListBullet2"/>
      </w:pPr>
      <w:r w:rsidRPr="00B574C1">
        <w:t>methods of presenting financial data</w:t>
      </w:r>
    </w:p>
    <w:p w:rsidR="00166A8C" w:rsidP="00B574C1">
      <w:pPr>
        <w:pStyle w:val="ListBullet2"/>
      </w:pPr>
    </w:p>
    <w:p w:rsidR="00000000" w:rsidRPr="00B574C1" w:rsidP="00B574C1">
      <w:pPr>
        <w:pStyle w:val="Heading1"/>
      </w:pPr>
      <w:bookmarkStart w:id="4" w:name="O_975770"/>
      <w:bookmarkEnd w:id="4"/>
      <w:r w:rsidRPr="00B574C1">
        <w:t>Assessment Conditions</w:t>
      </w:r>
    </w:p>
    <w:p w:rsidR="00000000" w:rsidRPr="00B574C1" w:rsidP="00166A8C">
      <w:pPr>
        <w:pStyle w:val="BodyText"/>
      </w:pPr>
      <w:r w:rsidRPr="00B574C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B574C1" w:rsidP="00B574C1">
      <w:pPr>
        <w:pStyle w:val="ListBullet"/>
      </w:pPr>
      <w:r w:rsidRPr="00B574C1">
        <w:t xml:space="preserve">office equipment, technology, software and consumables </w:t>
      </w:r>
      <w:r w:rsidRPr="00B574C1">
        <w:t>required to prepare financial statements for non-reporting entities.</w:t>
      </w:r>
    </w:p>
    <w:p w:rsidR="00000000" w:rsidRPr="00B574C1" w:rsidP="00B574C1">
      <w:pPr>
        <w:pStyle w:val="BodyText"/>
      </w:pPr>
    </w:p>
    <w:p w:rsidR="00166A8C" w:rsidP="00166A8C">
      <w:pPr>
        <w:pStyle w:val="BodyText"/>
      </w:pPr>
      <w:r w:rsidRPr="00B574C1">
        <w:t>Assessors of this unit must satisfy the assessor requirements in applicable vocational education and training legislation, frameworks and/or standards.</w:t>
      </w:r>
    </w:p>
    <w:p w:rsidR="00000000" w:rsidRPr="00B574C1" w:rsidP="00B574C1">
      <w:pPr>
        <w:pStyle w:val="Heading1"/>
      </w:pPr>
      <w:bookmarkStart w:id="5" w:name="O_975773"/>
      <w:bookmarkEnd w:id="5"/>
      <w:r w:rsidRPr="00B574C1">
        <w:t>Links</w:t>
      </w:r>
    </w:p>
    <w:p w:rsidR="00000000" w:rsidRPr="00B574C1" w:rsidP="00166A8C">
      <w:pPr>
        <w:pStyle w:val="BodyText"/>
      </w:pPr>
      <w:r w:rsidRPr="00B574C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24C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74C1" w:rsidP="00B574C1"/>
    <w:sectPr w:rsidSect="00B57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C1" w:rsidRPr="00166A8C" w:rsidP="00166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C" w:rsidP="00B57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A8C" w:rsidP="00B57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6A8C" w:rsidP="00B57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4C1" w:rsidRPr="00166A8C" w:rsidP="00166A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C" w:rsidRPr="002D2AF8" w:rsidP="00B57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FNSACC414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66A8C" w:rsidP="00B57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3E3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0C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AD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4C1"/>
  </w:style>
  <w:style w:type="character" w:customStyle="1" w:styleId="Heading1Char">
    <w:name w:val="Heading 1 Char"/>
    <w:basedOn w:val="DefaultParagraphFont"/>
    <w:link w:val="Heading1"/>
    <w:rsid w:val="00B57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4C1"/>
    <w:rPr>
      <w:b/>
      <w:spacing w:val="0"/>
    </w:rPr>
  </w:style>
  <w:style w:type="paragraph" w:styleId="ListBullet2">
    <w:name w:val="List Bullet 2"/>
    <w:basedOn w:val="List2"/>
    <w:rsid w:val="00B57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4C1"/>
    <w:rPr>
      <w:i/>
    </w:rPr>
  </w:style>
  <w:style w:type="paragraph" w:styleId="Caption">
    <w:name w:val="caption"/>
    <w:basedOn w:val="BodyText"/>
    <w:next w:val="Normal"/>
    <w:qFormat/>
    <w:rsid w:val="00B57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4C1"/>
  </w:style>
  <w:style w:type="paragraph" w:styleId="TableofFigures">
    <w:name w:val="table of figures"/>
    <w:basedOn w:val="Normal"/>
    <w:next w:val="Normal"/>
    <w:semiHidden/>
    <w:rsid w:val="00B57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4C1"/>
    <w:rPr>
      <w:rFonts w:ascii="Wingdings" w:hAnsi="Wingdings"/>
    </w:rPr>
  </w:style>
  <w:style w:type="paragraph" w:customStyle="1" w:styleId="TableHeading">
    <w:name w:val="Table Heading"/>
    <w:basedOn w:val="HeadingBase"/>
    <w:rsid w:val="00B57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4C1"/>
    <w:rPr>
      <w:color w:val="0033CC"/>
      <w:u w:val="none"/>
    </w:rPr>
  </w:style>
  <w:style w:type="paragraph" w:customStyle="1" w:styleId="BodyTextRight">
    <w:name w:val="Body Text Right"/>
    <w:basedOn w:val="BodyText"/>
    <w:rsid w:val="00B57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4C1"/>
    <w:rPr>
      <w:sz w:val="32"/>
    </w:rPr>
  </w:style>
  <w:style w:type="paragraph" w:customStyle="1" w:styleId="HeadingProcedure">
    <w:name w:val="Heading Procedure"/>
    <w:basedOn w:val="HeadingBase"/>
    <w:next w:val="Normal"/>
    <w:rsid w:val="00B57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4C1"/>
    <w:pPr>
      <w:spacing w:before="60" w:after="60"/>
    </w:pPr>
  </w:style>
  <w:style w:type="paragraph" w:styleId="ListContinue">
    <w:name w:val="List Continue"/>
    <w:basedOn w:val="List"/>
    <w:rsid w:val="00B574C1"/>
    <w:pPr>
      <w:ind w:firstLine="0"/>
    </w:pPr>
  </w:style>
  <w:style w:type="paragraph" w:customStyle="1" w:styleId="ListNote">
    <w:name w:val="List Note"/>
    <w:basedOn w:val="List"/>
    <w:rsid w:val="00B57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4C1"/>
    <w:rPr>
      <w:rFonts w:ascii="Courier New" w:hAnsi="Courier New"/>
    </w:rPr>
  </w:style>
  <w:style w:type="paragraph" w:customStyle="1" w:styleId="NoteBullet">
    <w:name w:val="Note Bullet"/>
    <w:basedOn w:val="Note"/>
    <w:rsid w:val="00B57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4C1"/>
    <w:rPr>
      <w:b/>
      <w:smallCaps/>
    </w:rPr>
  </w:style>
  <w:style w:type="paragraph" w:customStyle="1" w:styleId="TableListNumber">
    <w:name w:val="Table List Number"/>
    <w:basedOn w:val="ListNumber"/>
    <w:rsid w:val="00B57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4C1"/>
    <w:pPr>
      <w:numPr>
        <w:numId w:val="9"/>
      </w:numPr>
    </w:pPr>
  </w:style>
  <w:style w:type="paragraph" w:customStyle="1" w:styleId="ListAlpha2">
    <w:name w:val="List Alpha 2"/>
    <w:basedOn w:val="List2"/>
    <w:rsid w:val="00B574C1"/>
    <w:pPr>
      <w:numPr>
        <w:numId w:val="8"/>
      </w:numPr>
    </w:pPr>
  </w:style>
  <w:style w:type="paragraph" w:styleId="List2">
    <w:name w:val="List 2"/>
    <w:basedOn w:val="BodyText"/>
    <w:rsid w:val="00B57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4C1"/>
    <w:pPr>
      <w:numPr>
        <w:numId w:val="4"/>
      </w:numPr>
    </w:pPr>
  </w:style>
  <w:style w:type="paragraph" w:styleId="ListContinue2">
    <w:name w:val="List Continue 2"/>
    <w:basedOn w:val="List2"/>
    <w:rsid w:val="00B574C1"/>
    <w:pPr>
      <w:ind w:firstLine="0"/>
    </w:pPr>
  </w:style>
  <w:style w:type="paragraph" w:styleId="ListContinue3">
    <w:name w:val="List Continue 3"/>
    <w:basedOn w:val="List3"/>
    <w:rsid w:val="00B574C1"/>
    <w:pPr>
      <w:ind w:left="1021" w:firstLine="0"/>
    </w:pPr>
  </w:style>
  <w:style w:type="paragraph" w:styleId="ListContinue4">
    <w:name w:val="List Continue 4"/>
    <w:basedOn w:val="List4"/>
    <w:rsid w:val="00B574C1"/>
    <w:pPr>
      <w:ind w:firstLine="0"/>
    </w:pPr>
  </w:style>
  <w:style w:type="paragraph" w:styleId="ListContinue5">
    <w:name w:val="List Continue 5"/>
    <w:basedOn w:val="List5"/>
    <w:rsid w:val="00B574C1"/>
    <w:pPr>
      <w:ind w:firstLine="0"/>
    </w:pPr>
  </w:style>
  <w:style w:type="paragraph" w:styleId="ListNumber3">
    <w:name w:val="List Number 3"/>
    <w:basedOn w:val="List3"/>
    <w:rsid w:val="00B574C1"/>
    <w:pPr>
      <w:numPr>
        <w:numId w:val="5"/>
      </w:numPr>
    </w:pPr>
  </w:style>
  <w:style w:type="paragraph" w:styleId="ListNumber4">
    <w:name w:val="List Number 4"/>
    <w:basedOn w:val="List4"/>
    <w:rsid w:val="00B574C1"/>
    <w:pPr>
      <w:numPr>
        <w:numId w:val="6"/>
      </w:numPr>
    </w:pPr>
  </w:style>
  <w:style w:type="paragraph" w:styleId="ListNumber5">
    <w:name w:val="List Number 5"/>
    <w:basedOn w:val="List5"/>
    <w:rsid w:val="00B574C1"/>
    <w:pPr>
      <w:numPr>
        <w:numId w:val="7"/>
      </w:numPr>
    </w:pPr>
  </w:style>
  <w:style w:type="paragraph" w:styleId="BlockText">
    <w:name w:val="Block Text"/>
    <w:basedOn w:val="Normal"/>
    <w:rsid w:val="00B57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4C1"/>
    <w:rPr>
      <w:sz w:val="16"/>
      <w:vertAlign w:val="superscript"/>
    </w:rPr>
  </w:style>
  <w:style w:type="character" w:customStyle="1" w:styleId="Symbols">
    <w:name w:val="Symbols"/>
    <w:basedOn w:val="DefaultParagraphFont"/>
    <w:rsid w:val="00B574C1"/>
    <w:rPr>
      <w:rFonts w:ascii="Symbol" w:hAnsi="Symbol"/>
    </w:rPr>
  </w:style>
  <w:style w:type="character" w:customStyle="1" w:styleId="MenuOptions">
    <w:name w:val="Menu Options"/>
    <w:basedOn w:val="DefaultParagraphFont"/>
    <w:rsid w:val="00B57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4C1"/>
    <w:rPr>
      <w:b/>
    </w:rPr>
  </w:style>
  <w:style w:type="character" w:customStyle="1" w:styleId="Underlined">
    <w:name w:val="Underlined"/>
    <w:basedOn w:val="DefaultParagraphFont"/>
    <w:rsid w:val="00B574C1"/>
    <w:rPr>
      <w:u w:val="single"/>
    </w:rPr>
  </w:style>
  <w:style w:type="paragraph" w:customStyle="1" w:styleId="TableBodyTextRight">
    <w:name w:val="Table Body Text Right"/>
    <w:basedOn w:val="TableBodyText"/>
    <w:rsid w:val="00B57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4C1"/>
    <w:rPr>
      <w:sz w:val="18"/>
    </w:rPr>
  </w:style>
  <w:style w:type="paragraph" w:customStyle="1" w:styleId="BodySmallRight">
    <w:name w:val="Body Small Right"/>
    <w:basedOn w:val="BodyTextRight"/>
    <w:rsid w:val="00B574C1"/>
    <w:rPr>
      <w:sz w:val="18"/>
      <w:szCs w:val="18"/>
    </w:rPr>
  </w:style>
  <w:style w:type="paragraph" w:customStyle="1" w:styleId="MarginEdition">
    <w:name w:val="Margin Edition"/>
    <w:basedOn w:val="MarginNote"/>
    <w:rsid w:val="00B57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4C1"/>
    <w:rPr>
      <w:sz w:val="2"/>
      <w:szCs w:val="2"/>
    </w:rPr>
  </w:style>
  <w:style w:type="character" w:customStyle="1" w:styleId="Small">
    <w:name w:val="Small"/>
    <w:basedOn w:val="DefaultParagraphFont"/>
    <w:rsid w:val="00B574C1"/>
    <w:rPr>
      <w:sz w:val="16"/>
    </w:rPr>
  </w:style>
  <w:style w:type="paragraph" w:customStyle="1" w:styleId="WideTable">
    <w:name w:val="Wide Table"/>
    <w:basedOn w:val="Normal"/>
    <w:rsid w:val="00B57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4C1"/>
  </w:style>
  <w:style w:type="paragraph" w:styleId="Quote">
    <w:name w:val="Quote"/>
    <w:basedOn w:val="Heading1"/>
    <w:link w:val="QuoteChar"/>
    <w:qFormat/>
    <w:rsid w:val="00B57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4C1"/>
    <w:pPr>
      <w:pageBreakBefore/>
    </w:pPr>
  </w:style>
  <w:style w:type="paragraph" w:customStyle="1" w:styleId="Border">
    <w:name w:val="Border"/>
    <w:basedOn w:val="Normal"/>
    <w:qFormat/>
    <w:rsid w:val="00B57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4C1"/>
    <w:rPr>
      <w:u w:val="single"/>
    </w:rPr>
  </w:style>
  <w:style w:type="character" w:customStyle="1" w:styleId="BoldandItalics">
    <w:name w:val="Bold and Italics"/>
    <w:qFormat/>
    <w:rsid w:val="00B574C1"/>
    <w:rPr>
      <w:b/>
      <w:i/>
      <w:u w:val="none"/>
    </w:rPr>
  </w:style>
  <w:style w:type="paragraph" w:styleId="BalloonText">
    <w:name w:val="Balloon Text"/>
    <w:basedOn w:val="Normal"/>
    <w:link w:val="BalloonTextChar"/>
    <w:rsid w:val="00B57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4C1"/>
    <w:pPr>
      <w:spacing w:before="0" w:after="0"/>
    </w:pPr>
  </w:style>
  <w:style w:type="paragraph" w:customStyle="1" w:styleId="BodyTextBold">
    <w:name w:val="Body Text Bold"/>
    <w:basedOn w:val="BodyText"/>
    <w:qFormat/>
    <w:rsid w:val="00B574C1"/>
    <w:rPr>
      <w:b/>
    </w:rPr>
  </w:style>
  <w:style w:type="character" w:styleId="Hyperlink">
    <w:name w:val="Hyperlink"/>
    <w:basedOn w:val="DefaultParagraphFont"/>
    <w:uiPriority w:val="99"/>
    <w:unhideWhenUsed/>
    <w:rsid w:val="00166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2158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FNSACC414 Prepare financial statements for non-reporting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