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D80" w:rsidP="001E5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FNSACC403 Make decisions in a legal context</w:t>
      </w:r>
      <w:r>
        <w:fldChar w:fldCharType="end"/>
      </w:r>
    </w:p>
    <w:p w:rsidR="001E5D80" w:rsidP="001E5D80">
      <w:pPr>
        <w:pStyle w:val="Version"/>
        <w:sectPr w:rsidSect="00863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0BE" w:rsidP="008630BE">
      <w:pPr>
        <w:pStyle w:val="SuperHeading"/>
      </w:pPr>
      <w:r w:rsidRPr="008630BE">
        <w:t>FNSACC403 Make decisions in a legal context</w:t>
      </w:r>
    </w:p>
    <w:p w:rsidR="00000000" w:rsidRPr="008630BE" w:rsidP="008630BE">
      <w:pPr>
        <w:pStyle w:val="Heading1"/>
      </w:pPr>
      <w:bookmarkStart w:id="1" w:name="O_670343"/>
      <w:bookmarkEnd w:id="1"/>
      <w:r w:rsidRPr="008630B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E5D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SpecialBold"/>
              </w:rPr>
              <w:t>Comments</w:t>
            </w:r>
          </w:p>
        </w:tc>
      </w:tr>
      <w:tr w:rsidTr="001E5D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>This version first released with FNS Financial Services Training Package Version 1.0.</w:t>
            </w:r>
          </w:p>
        </w:tc>
      </w:tr>
    </w:tbl>
    <w:p w:rsidR="00000000" w:rsidRPr="008630BE" w:rsidP="008630BE">
      <w:pPr>
        <w:pStyle w:val="BodyText"/>
      </w:pPr>
    </w:p>
    <w:p w:rsidR="00000000" w:rsidRPr="008630BE" w:rsidP="008630BE">
      <w:pPr>
        <w:pStyle w:val="AllowPageBreak"/>
      </w:pPr>
    </w:p>
    <w:p w:rsidR="00000000" w:rsidRPr="008630BE" w:rsidP="008630BE">
      <w:pPr>
        <w:pStyle w:val="Heading1"/>
      </w:pPr>
      <w:bookmarkStart w:id="2" w:name="O_670344"/>
      <w:bookmarkEnd w:id="2"/>
      <w:r w:rsidRPr="008630BE">
        <w:t>Application</w:t>
      </w:r>
    </w:p>
    <w:p w:rsidR="00000000" w:rsidRPr="008630BE" w:rsidP="001E5D80">
      <w:pPr>
        <w:pStyle w:val="BodyText"/>
      </w:pPr>
      <w:r w:rsidRPr="008630BE">
        <w:t>This unit describes the skills and knowledge required to make decisions, particularly rela</w:t>
      </w:r>
      <w:r w:rsidRPr="008630BE">
        <w:t>ting to compliance issues, in a legal context. It is intended to satisfy the requirement for a course of study in commercial law at an introductory or foundation level, covering Australian legal systems and processes.</w:t>
      </w:r>
    </w:p>
    <w:p w:rsidR="00000000" w:rsidRPr="008630BE" w:rsidP="001E5D80">
      <w:pPr>
        <w:pStyle w:val="BodyText"/>
      </w:pPr>
      <w:r w:rsidRPr="008630BE">
        <w:t>It applies to individuals who within t</w:t>
      </w:r>
      <w:r w:rsidRPr="008630BE">
        <w:t>heir area of responsibility use specialised knowledge to make decisions that require consideration of the legal context.</w:t>
      </w:r>
    </w:p>
    <w:p w:rsidR="00000000" w:rsidRPr="008630BE" w:rsidP="001E5D80">
      <w:pPr>
        <w:pStyle w:val="BodyText"/>
      </w:pPr>
      <w:r w:rsidRPr="008630BE">
        <w:t>No licensing, legislative or certification requirements apply to this unit at the time of publication</w:t>
      </w:r>
    </w:p>
    <w:p w:rsidR="00000000" w:rsidRPr="008630BE" w:rsidP="008630BE">
      <w:pPr>
        <w:pStyle w:val="Heading1"/>
      </w:pPr>
      <w:bookmarkStart w:id="3" w:name="O_670347"/>
      <w:bookmarkEnd w:id="3"/>
      <w:r w:rsidRPr="008630BE">
        <w:t>Unit Sector</w:t>
      </w:r>
    </w:p>
    <w:p w:rsidR="00000000" w:rsidRPr="008630BE" w:rsidP="001E5D80">
      <w:pPr>
        <w:pStyle w:val="BodyText"/>
      </w:pPr>
      <w:r w:rsidRPr="008630BE">
        <w:t>Acco</w:t>
      </w:r>
      <w:r w:rsidRPr="008630BE">
        <w:t>unting</w:t>
      </w:r>
    </w:p>
    <w:p w:rsidR="00000000" w:rsidRPr="008630BE" w:rsidP="008630BE">
      <w:pPr>
        <w:pStyle w:val="Heading1"/>
      </w:pPr>
      <w:bookmarkStart w:id="4" w:name="O_670348"/>
      <w:bookmarkEnd w:id="4"/>
      <w:r w:rsidRPr="008630B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63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SpecialBold"/>
              </w:rPr>
              <w:t>PERFORMANCE CRITERIA</w:t>
            </w:r>
          </w:p>
        </w:tc>
      </w:tr>
      <w:tr w:rsidTr="00863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 Examine legal context for financial services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 xml:space="preserve">1.1 Identify Australian legal systems and processes </w:t>
            </w:r>
          </w:p>
          <w:p w:rsidR="00000000" w:rsidRPr="008630BE" w:rsidP="008630BE">
            <w:pPr>
              <w:pStyle w:val="BodyText"/>
            </w:pPr>
            <w:r w:rsidRPr="008630BE">
              <w:t xml:space="preserve">1.2 Identify functions of courts and other regulatory bodies </w:t>
            </w:r>
          </w:p>
          <w:p w:rsidR="00000000" w:rsidRPr="008630BE" w:rsidP="008630BE">
            <w:pPr>
              <w:pStyle w:val="BodyText"/>
            </w:pPr>
            <w:r w:rsidRPr="008630BE">
              <w:t>1.3 Identify implications of relevant legislation, regulation and legal precedent, and a</w:t>
            </w:r>
            <w:r w:rsidRPr="008630BE">
              <w:t>pply in making operational decisions</w:t>
            </w:r>
          </w:p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1.4 Seek advice and guidance to evaluate and moderate decision processes</w:t>
            </w:r>
          </w:p>
        </w:tc>
      </w:tr>
      <w:tr w:rsidTr="00863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2. Identify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 xml:space="preserve">2.1 Accurately interpret compliance requirements </w:t>
            </w:r>
          </w:p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 xml:space="preserve">2.2 Review legislative and regulatory sources of information </w:t>
            </w:r>
            <w:r w:rsidRPr="008630BE">
              <w:t>regularly to identify changes to compliance requirements</w:t>
            </w:r>
          </w:p>
        </w:tc>
      </w:tr>
      <w:tr w:rsidTr="008630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3. Develop procedures to ensure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>3.1 Develop procedures in consultation with others to address compliance requirements</w:t>
            </w:r>
          </w:p>
          <w:p w:rsidR="00000000" w:rsidRPr="008630BE" w:rsidP="008630BE">
            <w:pPr>
              <w:pStyle w:val="BodyText"/>
            </w:pPr>
            <w:r w:rsidRPr="008630BE">
              <w:t>3.2 Esta</w:t>
            </w:r>
            <w:r w:rsidRPr="008630BE">
              <w:t>blish timetables to meet compliance requirements to align with statutory deadlines</w:t>
            </w:r>
          </w:p>
        </w:tc>
      </w:tr>
    </w:tbl>
    <w:p w:rsidR="00000000" w:rsidRPr="008630BE" w:rsidP="008630BE">
      <w:pPr>
        <w:pStyle w:val="BodyText"/>
      </w:pPr>
    </w:p>
    <w:p w:rsidR="00000000" w:rsidRPr="008630BE" w:rsidP="008630BE">
      <w:pPr>
        <w:pStyle w:val="AllowPageBreak"/>
      </w:pPr>
    </w:p>
    <w:p w:rsidR="00000000" w:rsidRPr="008630BE" w:rsidP="008630BE">
      <w:pPr>
        <w:pStyle w:val="Heading1"/>
      </w:pPr>
      <w:bookmarkStart w:id="5" w:name="O_670349"/>
      <w:bookmarkEnd w:id="5"/>
      <w:r w:rsidRPr="008630BE">
        <w:t>Foundation Skills</w:t>
      </w:r>
    </w:p>
    <w:p w:rsidR="00000000" w:rsidRPr="001E5D80" w:rsidP="001E5D80">
      <w:pPr>
        <w:pStyle w:val="BodyText"/>
        <w:rPr>
          <w:i/>
        </w:rPr>
      </w:pPr>
      <w:r w:rsidRPr="001E5D80">
        <w:rPr>
          <w:rStyle w:val="Emphasis"/>
        </w:rPr>
        <w:t>This section describes language, literacy, numeracy and employment skills incorporated in the performance criteria that are required for</w:t>
      </w:r>
      <w:r w:rsidRPr="001E5D80">
        <w:rPr>
          <w:rStyle w:val="Emphasis"/>
        </w:rPr>
        <w:t xml:space="preserve">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SpecialBold"/>
              </w:rPr>
              <w:t>Description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1.1-1.3,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ListBullet"/>
              <w:rPr>
                <w:lang w:val="en-NZ"/>
              </w:rPr>
            </w:pPr>
            <w:r w:rsidRPr="008630BE">
              <w:t xml:space="preserve">Categorises, consolidates and interprets complex regulatory and legislative information 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ListBullet"/>
              <w:rPr>
                <w:lang w:val="en-NZ"/>
              </w:rPr>
            </w:pPr>
            <w:r w:rsidRPr="008630BE">
              <w:t>Prepares documentation using clear language, formats and terminology specific to requirements, audience and purpose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ListBullet"/>
              <w:rPr>
                <w:lang w:val="en-NZ"/>
              </w:rPr>
            </w:pPr>
            <w:r w:rsidRPr="008630BE">
              <w:t>Participates in verbal exchanges using active listening and questioning to clarify thinking and elicit opinion</w:t>
            </w:r>
            <w:r w:rsidRPr="008630BE">
              <w:t>s of others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1.3, 2.1, 2.2, 3.1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ListBullet"/>
            </w:pPr>
            <w:r w:rsidRPr="008630BE">
              <w:t>Contributes to the development of procedures to meet legislative requirements</w:t>
            </w:r>
          </w:p>
          <w:p w:rsidR="00000000" w:rsidP="008630BE">
            <w:pPr>
              <w:pStyle w:val="ListBullet"/>
              <w:rPr>
                <w:lang w:val="en-NZ"/>
              </w:rPr>
            </w:pPr>
            <w:r w:rsidRPr="008630BE">
              <w:t>Identifies organisational implications of new or changed legislation or regulations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ListBullet"/>
            </w:pPr>
            <w:r w:rsidRPr="008630BE">
              <w:t>Selects and uses appropriate conventions and protocols when communicating with internal and external stakeholders to seek or share information</w:t>
            </w:r>
          </w:p>
          <w:p w:rsidR="00000000" w:rsidP="008630BE">
            <w:pPr>
              <w:pStyle w:val="ListBullet"/>
              <w:rPr>
                <w:lang w:val="en-NZ"/>
              </w:rPr>
            </w:pPr>
            <w:r w:rsidRPr="008630BE">
              <w:t xml:space="preserve">Collaborates and cooperates with others to achieve joint outcomes </w:t>
            </w:r>
          </w:p>
        </w:tc>
      </w:tr>
      <w:tr w:rsidTr="008630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 xml:space="preserve">1.3, 3.1, 3.2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ListBullet"/>
            </w:pPr>
            <w:r w:rsidRPr="008630BE">
              <w:t>Organises w</w:t>
            </w:r>
            <w:r w:rsidRPr="008630BE">
              <w:t>ork to meet organisational requirements, taking responsibility for process, compliance and schedule needs</w:t>
            </w:r>
          </w:p>
          <w:p w:rsidR="00000000" w:rsidRPr="008630BE" w:rsidP="008630BE">
            <w:pPr>
              <w:pStyle w:val="ListBullet"/>
            </w:pPr>
            <w:r w:rsidRPr="008630BE">
              <w:t>Makes critical and non-critical decisions in relatively complex situations, taking relevant legislation, regulation and legal precedent into considera</w:t>
            </w:r>
            <w:r w:rsidRPr="008630BE">
              <w:t xml:space="preserve">tion </w:t>
            </w:r>
          </w:p>
          <w:p w:rsidR="00000000" w:rsidRPr="008630BE" w:rsidP="008630BE">
            <w:pPr>
              <w:pStyle w:val="ListBullet"/>
            </w:pPr>
            <w:r w:rsidRPr="008630BE">
              <w:t>Uses the main features and functions of digital tools to complete work tasks</w:t>
            </w:r>
          </w:p>
        </w:tc>
      </w:tr>
    </w:tbl>
    <w:p w:rsidR="001E5D80" w:rsidP="008630BE">
      <w:pPr>
        <w:pStyle w:val="BodyText"/>
      </w:pPr>
    </w:p>
    <w:p w:rsidR="001E5D80" w:rsidP="008630BE">
      <w:pPr>
        <w:pStyle w:val="BodyText"/>
      </w:pPr>
    </w:p>
    <w:p w:rsidR="00000000" w:rsidRPr="008630BE" w:rsidP="008630BE">
      <w:pPr>
        <w:pStyle w:val="Heading1"/>
      </w:pPr>
      <w:bookmarkStart w:id="6" w:name="O_670351"/>
      <w:bookmarkEnd w:id="6"/>
      <w:r w:rsidRPr="008630B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8630B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 xml:space="preserve">Code and title </w:t>
            </w:r>
          </w:p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Code and title</w:t>
            </w:r>
          </w:p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SpecialBold"/>
              </w:rPr>
              <w:t>Equivalence status</w:t>
            </w:r>
          </w:p>
        </w:tc>
      </w:tr>
      <w:tr w:rsidTr="008630B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FNSACC403 Make decisions in a legal context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FNSACC403B Make decisions in a legal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>Equivalent unit</w:t>
            </w:r>
          </w:p>
        </w:tc>
      </w:tr>
    </w:tbl>
    <w:p w:rsidR="00000000" w:rsidRPr="008630BE" w:rsidP="008630BE">
      <w:pPr>
        <w:pStyle w:val="BodyText"/>
      </w:pPr>
    </w:p>
    <w:p w:rsidR="00000000" w:rsidRPr="008630BE" w:rsidP="008630BE">
      <w:pPr>
        <w:pStyle w:val="AllowPageBreak"/>
      </w:pPr>
    </w:p>
    <w:p w:rsidR="00000000" w:rsidRPr="008630BE" w:rsidP="008630BE">
      <w:pPr>
        <w:pStyle w:val="Heading1"/>
      </w:pPr>
      <w:bookmarkStart w:id="7" w:name="O_670358"/>
      <w:bookmarkEnd w:id="7"/>
      <w:r w:rsidRPr="008630BE">
        <w:t>Links</w:t>
      </w:r>
    </w:p>
    <w:p w:rsidR="00000000" w:rsidRPr="008630BE" w:rsidP="001E5D80">
      <w:pPr>
        <w:pStyle w:val="BodyText"/>
      </w:pPr>
      <w:r w:rsidRPr="00863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5D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30BE" w:rsidP="001E5D80">
      <w:pPr>
        <w:pStyle w:val="BodyText"/>
        <w:sectPr w:rsidSect="008630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0BE" w:rsidP="008630BE">
      <w:pPr>
        <w:pStyle w:val="SuperHeading"/>
      </w:pPr>
      <w:r w:rsidRPr="008630BE">
        <w:t xml:space="preserve">Assessment </w:t>
      </w:r>
      <w:r w:rsidRPr="008630BE">
        <w:t>Requirements for FNSACC403 Make decisions in a legal context</w:t>
      </w:r>
    </w:p>
    <w:p w:rsidR="00000000" w:rsidRPr="008630BE" w:rsidP="008630BE">
      <w:pPr>
        <w:pStyle w:val="Heading1"/>
      </w:pPr>
      <w:bookmarkStart w:id="8" w:name="O_670353"/>
      <w:bookmarkEnd w:id="8"/>
      <w:r w:rsidRPr="00863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3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rPr>
                <w:rStyle w:val="SpecialBold"/>
              </w:rPr>
              <w:t>Comments</w:t>
            </w:r>
          </w:p>
        </w:tc>
      </w:tr>
      <w:tr w:rsidTr="00863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0BE">
            <w:pPr>
              <w:pStyle w:val="BodyText"/>
              <w:rPr>
                <w:lang w:val="en-NZ"/>
              </w:rPr>
            </w:pPr>
            <w:r w:rsidRPr="008630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0BE" w:rsidP="008630BE">
            <w:pPr>
              <w:pStyle w:val="BodyText"/>
            </w:pPr>
            <w:r w:rsidRPr="008630BE">
              <w:t>This version first released with FNS Financial Services Training Package Version 1.0.</w:t>
            </w:r>
          </w:p>
        </w:tc>
      </w:tr>
    </w:tbl>
    <w:p w:rsidR="00000000" w:rsidRPr="008630BE" w:rsidP="008630BE">
      <w:pPr>
        <w:pStyle w:val="BodyText"/>
      </w:pPr>
    </w:p>
    <w:p w:rsidR="00000000" w:rsidRPr="008630BE" w:rsidP="008630BE">
      <w:pPr>
        <w:pStyle w:val="AllowPageBreak"/>
      </w:pPr>
    </w:p>
    <w:p w:rsidR="00000000" w:rsidRPr="008630BE" w:rsidP="008630BE">
      <w:pPr>
        <w:pStyle w:val="Heading1"/>
      </w:pPr>
      <w:bookmarkStart w:id="9" w:name="O_670354"/>
      <w:bookmarkEnd w:id="9"/>
      <w:r w:rsidRPr="008630BE">
        <w:t>Performance Evidence</w:t>
      </w:r>
    </w:p>
    <w:p w:rsidR="00000000" w:rsidRPr="008630BE" w:rsidP="001E5D80">
      <w:pPr>
        <w:pStyle w:val="BodyText"/>
      </w:pPr>
      <w:r w:rsidRPr="008630BE">
        <w:t>Evidence of the ability to:</w:t>
      </w:r>
    </w:p>
    <w:p w:rsidR="00000000" w:rsidRPr="008630BE" w:rsidP="008630BE">
      <w:pPr>
        <w:pStyle w:val="ListBullet"/>
      </w:pPr>
      <w:r w:rsidRPr="008630BE">
        <w:t>access information on relevant legislation, statutes, regulation and legal judgements</w:t>
      </w:r>
    </w:p>
    <w:p w:rsidR="00000000" w:rsidRPr="008630BE" w:rsidP="008630BE">
      <w:pPr>
        <w:pStyle w:val="ListBullet"/>
      </w:pPr>
      <w:r w:rsidRPr="008630BE">
        <w:t xml:space="preserve">draw conclusions, having regard to the facts and relevant law </w:t>
      </w:r>
    </w:p>
    <w:p w:rsidR="00000000" w:rsidRPr="008630BE" w:rsidP="008630BE">
      <w:pPr>
        <w:pStyle w:val="ListBullet"/>
      </w:pPr>
      <w:r w:rsidRPr="008630BE">
        <w:t>review and assist to develop organisational procedures to meet compliance requ</w:t>
      </w:r>
      <w:r w:rsidRPr="008630BE">
        <w:t>irements.</w:t>
      </w:r>
    </w:p>
    <w:p w:rsidR="00000000" w:rsidRPr="008630BE" w:rsidP="001E5D80">
      <w:pPr>
        <w:pStyle w:val="BodyText"/>
      </w:pPr>
      <w:r w:rsidRPr="008630BE">
        <w:t>Note: If a specific volume or frequency is not stated, then evidence must be provided at least once.</w:t>
      </w:r>
    </w:p>
    <w:p w:rsidR="00000000" w:rsidRPr="008630BE" w:rsidP="008630BE">
      <w:pPr>
        <w:pStyle w:val="Heading1"/>
      </w:pPr>
      <w:bookmarkStart w:id="10" w:name="O_670355"/>
      <w:bookmarkEnd w:id="10"/>
      <w:r w:rsidRPr="008630BE">
        <w:t>Knowledge Evidence</w:t>
      </w:r>
    </w:p>
    <w:p w:rsidR="00000000" w:rsidRPr="008630BE" w:rsidP="001E5D80">
      <w:pPr>
        <w:pStyle w:val="BodyText"/>
      </w:pPr>
      <w:r w:rsidRPr="008630BE">
        <w:t>To complete the unit requirements safely and effectively, the individual must:</w:t>
      </w:r>
    </w:p>
    <w:p w:rsidR="00000000" w:rsidRPr="008630BE" w:rsidP="008630BE">
      <w:pPr>
        <w:pStyle w:val="ListBullet"/>
      </w:pPr>
      <w:r w:rsidRPr="008630BE">
        <w:t>identify and explain the key features of Australian legal systems and processes, and the context in which they operate including:</w:t>
      </w:r>
    </w:p>
    <w:p w:rsidR="00000000" w:rsidRPr="008630BE" w:rsidP="008630BE">
      <w:pPr>
        <w:pStyle w:val="ListBullet2"/>
      </w:pPr>
      <w:r w:rsidRPr="008630BE">
        <w:t>basic principles, current statute and common law</w:t>
      </w:r>
    </w:p>
    <w:p w:rsidR="00000000" w:rsidRPr="008630BE" w:rsidP="008630BE">
      <w:pPr>
        <w:pStyle w:val="ListBullet2"/>
      </w:pPr>
      <w:r w:rsidRPr="008630BE">
        <w:t>roles and responsibilities of key organisations</w:t>
      </w:r>
    </w:p>
    <w:p w:rsidR="00000000" w:rsidRPr="008630BE" w:rsidP="008630BE">
      <w:pPr>
        <w:pStyle w:val="ListBullet2"/>
      </w:pPr>
      <w:r w:rsidRPr="008630BE">
        <w:t>constitutional consideration</w:t>
      </w:r>
      <w:r w:rsidRPr="008630BE">
        <w:t>s</w:t>
      </w:r>
    </w:p>
    <w:p w:rsidR="00000000" w:rsidRPr="008630BE" w:rsidP="008630BE">
      <w:pPr>
        <w:pStyle w:val="ListBullet2"/>
      </w:pPr>
      <w:r w:rsidRPr="008630BE">
        <w:t>separation of powers</w:t>
      </w:r>
    </w:p>
    <w:p w:rsidR="00000000" w:rsidRPr="008630BE" w:rsidP="008630BE">
      <w:pPr>
        <w:pStyle w:val="ListBullet2"/>
      </w:pPr>
      <w:r w:rsidRPr="008630BE">
        <w:t xml:space="preserve">basic principles of the law of torts, particularly relating to: </w:t>
      </w:r>
    </w:p>
    <w:p w:rsidR="00000000" w:rsidRPr="008630BE" w:rsidP="008630BE">
      <w:pPr>
        <w:pStyle w:val="ListBullet3"/>
      </w:pPr>
      <w:r w:rsidRPr="008630BE">
        <w:t>negligence</w:t>
      </w:r>
    </w:p>
    <w:p w:rsidR="00000000" w:rsidRPr="008630BE" w:rsidP="008630BE">
      <w:pPr>
        <w:pStyle w:val="ListBullet3"/>
      </w:pPr>
      <w:r w:rsidRPr="008630BE">
        <w:t xml:space="preserve">negligent misstatement </w:t>
      </w:r>
    </w:p>
    <w:p w:rsidR="00000000" w:rsidRPr="008630BE" w:rsidP="008630BE">
      <w:pPr>
        <w:pStyle w:val="ListBullet2"/>
      </w:pPr>
      <w:r w:rsidRPr="008630BE">
        <w:t>courts and regulatory bodies</w:t>
      </w:r>
    </w:p>
    <w:p w:rsidR="00000000" w:rsidRPr="008630BE" w:rsidP="008630BE">
      <w:pPr>
        <w:pStyle w:val="ListBullet"/>
      </w:pPr>
      <w:r w:rsidRPr="008630BE">
        <w:t>identify and describe the main features of current legislation and its general impact on business operations in the areas of:</w:t>
      </w:r>
    </w:p>
    <w:p w:rsidR="00000000" w:rsidRPr="008630BE" w:rsidP="008630BE">
      <w:pPr>
        <w:pStyle w:val="ListBullet2"/>
      </w:pPr>
      <w:r w:rsidRPr="008630BE">
        <w:t>consumer law</w:t>
      </w:r>
    </w:p>
    <w:p w:rsidR="00000000" w:rsidRPr="008630BE" w:rsidP="008630BE">
      <w:pPr>
        <w:pStyle w:val="ListBullet2"/>
      </w:pPr>
      <w:r w:rsidRPr="008630BE">
        <w:t>corporations law, including different business organisational structures and regulations for:</w:t>
      </w:r>
    </w:p>
    <w:p w:rsidR="00000000" w:rsidRPr="008630BE" w:rsidP="008630BE">
      <w:pPr>
        <w:pStyle w:val="ListBullet3"/>
      </w:pPr>
      <w:r w:rsidRPr="008630BE">
        <w:t>public and private companies</w:t>
      </w:r>
    </w:p>
    <w:p w:rsidR="00000000" w:rsidRPr="008630BE" w:rsidP="008630BE">
      <w:pPr>
        <w:pStyle w:val="ListBullet3"/>
      </w:pPr>
      <w:r w:rsidRPr="008630BE">
        <w:t>trusts</w:t>
      </w:r>
    </w:p>
    <w:p w:rsidR="00000000" w:rsidRPr="008630BE" w:rsidP="008630BE">
      <w:pPr>
        <w:pStyle w:val="ListBullet3"/>
      </w:pPr>
      <w:r w:rsidRPr="008630BE">
        <w:t>partnerships</w:t>
      </w:r>
    </w:p>
    <w:p w:rsidR="00000000" w:rsidRPr="008630BE" w:rsidP="008630BE">
      <w:pPr>
        <w:pStyle w:val="ListBullet3"/>
      </w:pPr>
      <w:r w:rsidRPr="008630BE">
        <w:t>sole traders</w:t>
      </w:r>
    </w:p>
    <w:p w:rsidR="00000000" w:rsidRPr="008630BE" w:rsidP="008630BE">
      <w:pPr>
        <w:pStyle w:val="ListBullet2"/>
      </w:pPr>
      <w:r w:rsidRPr="008630BE">
        <w:t>property law</w:t>
      </w:r>
    </w:p>
    <w:p w:rsidR="00000000" w:rsidRPr="008630BE" w:rsidP="008630BE">
      <w:pPr>
        <w:pStyle w:val="ListBullet2"/>
      </w:pPr>
      <w:r w:rsidRPr="008630BE">
        <w:t>superannuation law</w:t>
      </w:r>
    </w:p>
    <w:p w:rsidR="00000000" w:rsidRPr="008630BE" w:rsidP="008630BE">
      <w:pPr>
        <w:pStyle w:val="ListBullet2"/>
      </w:pPr>
      <w:r w:rsidRPr="008630BE">
        <w:t>taxation law</w:t>
      </w:r>
    </w:p>
    <w:p w:rsidR="00000000" w:rsidRPr="008630BE" w:rsidP="008630BE">
      <w:pPr>
        <w:pStyle w:val="ListBullet"/>
      </w:pPr>
      <w:r w:rsidRPr="008630BE">
        <w:t>identify the key decisions in case law and interpret findings.</w:t>
      </w:r>
    </w:p>
    <w:p w:rsidR="00000000" w:rsidRPr="008630BE" w:rsidP="008630BE">
      <w:pPr>
        <w:pStyle w:val="AllowPageBreak"/>
      </w:pPr>
    </w:p>
    <w:p w:rsidR="00000000" w:rsidRPr="008630BE" w:rsidP="008630BE">
      <w:pPr>
        <w:pStyle w:val="Heading1"/>
      </w:pPr>
      <w:bookmarkStart w:id="11" w:name="O_670356"/>
      <w:bookmarkEnd w:id="11"/>
      <w:r w:rsidRPr="008630BE">
        <w:t>Assessment Conditions</w:t>
      </w:r>
    </w:p>
    <w:p w:rsidR="00000000" w:rsidRPr="008630BE" w:rsidP="001E5D80">
      <w:pPr>
        <w:pStyle w:val="BodyText"/>
      </w:pPr>
      <w:r w:rsidRPr="008630BE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8630BE" w:rsidP="008630BE">
      <w:pPr>
        <w:pStyle w:val="ListBullet"/>
      </w:pPr>
      <w:r w:rsidRPr="008630BE">
        <w:t>common office equipment, technology, software and consu</w:t>
      </w:r>
      <w:r w:rsidRPr="008630BE">
        <w:t>mables</w:t>
      </w:r>
    </w:p>
    <w:p w:rsidR="00000000" w:rsidRPr="008630BE" w:rsidP="008630BE">
      <w:pPr>
        <w:pStyle w:val="ListBullet"/>
      </w:pPr>
      <w:r w:rsidRPr="008630BE">
        <w:t xml:space="preserve">internet </w:t>
      </w:r>
    </w:p>
    <w:p w:rsidR="00000000" w:rsidRPr="008630BE" w:rsidP="008630BE">
      <w:pPr>
        <w:pStyle w:val="ListBullet"/>
      </w:pPr>
      <w:r w:rsidRPr="008630BE">
        <w:t>relevant legislative and regulatory documentation.</w:t>
      </w:r>
    </w:p>
    <w:p w:rsidR="00000000" w:rsidRPr="008630BE" w:rsidP="001E5D80">
      <w:pPr>
        <w:pStyle w:val="BodyText"/>
      </w:pPr>
      <w:r w:rsidRPr="008630BE">
        <w:t>Assessors must satisfy NVR/AQTF assessor requirements.</w:t>
      </w:r>
    </w:p>
    <w:p w:rsidR="00000000" w:rsidRPr="008630BE" w:rsidP="008630BE">
      <w:pPr>
        <w:pStyle w:val="Heading1"/>
      </w:pPr>
      <w:bookmarkStart w:id="12" w:name="O_670359"/>
      <w:bookmarkEnd w:id="12"/>
      <w:r w:rsidRPr="008630BE">
        <w:t>Links</w:t>
      </w:r>
    </w:p>
    <w:p w:rsidR="00000000" w:rsidRPr="008630BE" w:rsidP="001E5D80">
      <w:pPr>
        <w:pStyle w:val="BodyText"/>
      </w:pPr>
      <w:r w:rsidRPr="00863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85D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30BE" w:rsidP="008630BE"/>
    <w:sectPr w:rsidSect="008630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 w:rsidRPr="001E5D80" w:rsidP="001E5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80" w:rsidP="00863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D80" w:rsidP="00863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5D80" w:rsidP="008630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 w:rsidP="00863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5D80">
      <w:t>Approved</w:t>
    </w:r>
    <w:r w:rsidR="001E5D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5D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5D80">
      <w:rPr>
        <w:noProof/>
      </w:rPr>
      <w:t>4</w:t>
    </w:r>
    <w:r>
      <w:rPr>
        <w:noProof/>
      </w:rPr>
      <w:fldChar w:fldCharType="end"/>
    </w:r>
  </w:p>
  <w:p w:rsidR="008630BE" w:rsidP="00863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5D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5D80">
      <w:t>Future Skills Organisation</w:t>
    </w:r>
    <w:r w:rsidR="001E5D80">
      <w:fldChar w:fldCharType="end"/>
    </w:r>
  </w:p>
  <w:p w:rsidR="008630BE" w:rsidP="00863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0BE" w:rsidRPr="001E5D80" w:rsidP="001E5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80" w:rsidRPr="002D2AF8" w:rsidP="00863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FNSACC403 Make decisions in a legal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5D80" w:rsidP="008630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0BE" w:rsidRPr="002D2AF8" w:rsidP="00863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5D80">
      <w:t>FNSACC403 Make decisions in a legal context</w:t>
    </w:r>
    <w:r w:rsidR="001E5D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5D80">
      <w:rPr>
        <w:noProof/>
      </w:rPr>
      <w:t>2 March 2025</w:t>
    </w:r>
    <w:r>
      <w:fldChar w:fldCharType="end"/>
    </w:r>
  </w:p>
  <w:p w:rsidR="008630BE" w:rsidP="00863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6F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EF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E4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0BE"/>
  </w:style>
  <w:style w:type="character" w:customStyle="1" w:styleId="Heading1Char">
    <w:name w:val="Heading 1 Char"/>
    <w:basedOn w:val="DefaultParagraphFont"/>
    <w:link w:val="Heading1"/>
    <w:rsid w:val="00863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0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0BE"/>
    <w:rPr>
      <w:b/>
      <w:spacing w:val="0"/>
    </w:rPr>
  </w:style>
  <w:style w:type="paragraph" w:styleId="ListBullet2">
    <w:name w:val="List Bullet 2"/>
    <w:basedOn w:val="List2"/>
    <w:rsid w:val="008630B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0BE"/>
    <w:rPr>
      <w:i/>
    </w:rPr>
  </w:style>
  <w:style w:type="paragraph" w:customStyle="1" w:styleId="SuperHeading">
    <w:name w:val="SuperHeading"/>
    <w:basedOn w:val="Normal"/>
    <w:rsid w:val="00863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30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3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0BE"/>
  </w:style>
  <w:style w:type="paragraph" w:styleId="TableofFigures">
    <w:name w:val="table of figures"/>
    <w:basedOn w:val="Normal"/>
    <w:next w:val="Normal"/>
    <w:semiHidden/>
    <w:rsid w:val="00863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0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30BE"/>
    <w:rPr>
      <w:rFonts w:ascii="Wingdings" w:hAnsi="Wingdings"/>
    </w:rPr>
  </w:style>
  <w:style w:type="paragraph" w:customStyle="1" w:styleId="TableHeading">
    <w:name w:val="Table Heading"/>
    <w:basedOn w:val="HeadingBase"/>
    <w:rsid w:val="00863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0BE"/>
    <w:rPr>
      <w:color w:val="0033CC"/>
      <w:u w:val="none"/>
    </w:rPr>
  </w:style>
  <w:style w:type="paragraph" w:customStyle="1" w:styleId="BodyTextRight">
    <w:name w:val="Body Text Right"/>
    <w:basedOn w:val="BodyText"/>
    <w:rsid w:val="00863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0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0BE"/>
    <w:rPr>
      <w:sz w:val="32"/>
    </w:rPr>
  </w:style>
  <w:style w:type="paragraph" w:customStyle="1" w:styleId="HeadingProcedure">
    <w:name w:val="Heading Procedure"/>
    <w:basedOn w:val="HeadingBase"/>
    <w:next w:val="Normal"/>
    <w:rsid w:val="00863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0BE"/>
    <w:pPr>
      <w:spacing w:before="60" w:after="60"/>
    </w:pPr>
  </w:style>
  <w:style w:type="paragraph" w:styleId="ListContinue">
    <w:name w:val="List Continue"/>
    <w:basedOn w:val="List"/>
    <w:rsid w:val="008630BE"/>
    <w:pPr>
      <w:ind w:firstLine="0"/>
    </w:pPr>
  </w:style>
  <w:style w:type="paragraph" w:customStyle="1" w:styleId="ListNote">
    <w:name w:val="List Note"/>
    <w:basedOn w:val="List"/>
    <w:rsid w:val="00863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0BE"/>
    <w:rPr>
      <w:rFonts w:ascii="Courier New" w:hAnsi="Courier New"/>
    </w:rPr>
  </w:style>
  <w:style w:type="paragraph" w:customStyle="1" w:styleId="NoteBullet">
    <w:name w:val="Note Bullet"/>
    <w:basedOn w:val="Note"/>
    <w:rsid w:val="00863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0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3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0BE"/>
    <w:rPr>
      <w:b/>
      <w:smallCaps/>
    </w:rPr>
  </w:style>
  <w:style w:type="paragraph" w:customStyle="1" w:styleId="TableListNumber">
    <w:name w:val="Table List Number"/>
    <w:basedOn w:val="ListNumber"/>
    <w:rsid w:val="00863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0BE"/>
    <w:pPr>
      <w:numPr>
        <w:numId w:val="10"/>
      </w:numPr>
    </w:pPr>
  </w:style>
  <w:style w:type="paragraph" w:customStyle="1" w:styleId="ListAlpha2">
    <w:name w:val="List Alpha 2"/>
    <w:basedOn w:val="List2"/>
    <w:rsid w:val="008630BE"/>
    <w:pPr>
      <w:numPr>
        <w:numId w:val="9"/>
      </w:numPr>
    </w:pPr>
  </w:style>
  <w:style w:type="paragraph" w:styleId="List2">
    <w:name w:val="List 2"/>
    <w:basedOn w:val="BodyText"/>
    <w:rsid w:val="00863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0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30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30BE"/>
    <w:pPr>
      <w:numPr>
        <w:numId w:val="5"/>
      </w:numPr>
    </w:pPr>
  </w:style>
  <w:style w:type="paragraph" w:styleId="ListContinue2">
    <w:name w:val="List Continue 2"/>
    <w:basedOn w:val="List2"/>
    <w:rsid w:val="008630BE"/>
    <w:pPr>
      <w:ind w:firstLine="0"/>
    </w:pPr>
  </w:style>
  <w:style w:type="paragraph" w:styleId="ListContinue3">
    <w:name w:val="List Continue 3"/>
    <w:basedOn w:val="List3"/>
    <w:rsid w:val="008630BE"/>
    <w:pPr>
      <w:ind w:left="1021" w:firstLine="0"/>
    </w:pPr>
  </w:style>
  <w:style w:type="paragraph" w:styleId="ListContinue4">
    <w:name w:val="List Continue 4"/>
    <w:basedOn w:val="List4"/>
    <w:rsid w:val="008630BE"/>
    <w:pPr>
      <w:ind w:firstLine="0"/>
    </w:pPr>
  </w:style>
  <w:style w:type="paragraph" w:styleId="ListContinue5">
    <w:name w:val="List Continue 5"/>
    <w:basedOn w:val="List5"/>
    <w:rsid w:val="008630BE"/>
    <w:pPr>
      <w:ind w:firstLine="0"/>
    </w:pPr>
  </w:style>
  <w:style w:type="paragraph" w:styleId="ListNumber3">
    <w:name w:val="List Number 3"/>
    <w:basedOn w:val="List3"/>
    <w:rsid w:val="008630BE"/>
    <w:pPr>
      <w:numPr>
        <w:numId w:val="6"/>
      </w:numPr>
    </w:pPr>
  </w:style>
  <w:style w:type="paragraph" w:styleId="ListNumber4">
    <w:name w:val="List Number 4"/>
    <w:basedOn w:val="List4"/>
    <w:rsid w:val="008630BE"/>
    <w:pPr>
      <w:numPr>
        <w:numId w:val="7"/>
      </w:numPr>
    </w:pPr>
  </w:style>
  <w:style w:type="paragraph" w:styleId="ListNumber5">
    <w:name w:val="List Number 5"/>
    <w:basedOn w:val="List5"/>
    <w:rsid w:val="008630BE"/>
    <w:pPr>
      <w:numPr>
        <w:numId w:val="8"/>
      </w:numPr>
    </w:pPr>
  </w:style>
  <w:style w:type="paragraph" w:styleId="BlockText">
    <w:name w:val="Block Text"/>
    <w:basedOn w:val="Normal"/>
    <w:rsid w:val="00863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0BE"/>
    <w:rPr>
      <w:sz w:val="16"/>
      <w:vertAlign w:val="superscript"/>
    </w:rPr>
  </w:style>
  <w:style w:type="character" w:customStyle="1" w:styleId="Symbols">
    <w:name w:val="Symbols"/>
    <w:basedOn w:val="DefaultParagraphFont"/>
    <w:rsid w:val="008630BE"/>
    <w:rPr>
      <w:rFonts w:ascii="Symbol" w:hAnsi="Symbol"/>
    </w:rPr>
  </w:style>
  <w:style w:type="character" w:customStyle="1" w:styleId="MenuOptions">
    <w:name w:val="Menu Options"/>
    <w:basedOn w:val="DefaultParagraphFont"/>
    <w:rsid w:val="00863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0BE"/>
    <w:rPr>
      <w:b/>
    </w:rPr>
  </w:style>
  <w:style w:type="character" w:customStyle="1" w:styleId="Underlined">
    <w:name w:val="Underlined"/>
    <w:basedOn w:val="DefaultParagraphFont"/>
    <w:rsid w:val="008630BE"/>
    <w:rPr>
      <w:u w:val="single"/>
    </w:rPr>
  </w:style>
  <w:style w:type="paragraph" w:customStyle="1" w:styleId="TableBodyTextRight">
    <w:name w:val="Table Body Text Right"/>
    <w:basedOn w:val="TableBodyText"/>
    <w:rsid w:val="00863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0BE"/>
    <w:rPr>
      <w:sz w:val="18"/>
    </w:rPr>
  </w:style>
  <w:style w:type="paragraph" w:customStyle="1" w:styleId="BodySmallRight">
    <w:name w:val="Body Small Right"/>
    <w:basedOn w:val="BodyTextRight"/>
    <w:rsid w:val="008630BE"/>
    <w:rPr>
      <w:sz w:val="18"/>
      <w:szCs w:val="18"/>
    </w:rPr>
  </w:style>
  <w:style w:type="paragraph" w:customStyle="1" w:styleId="MarginEdition">
    <w:name w:val="Margin Edition"/>
    <w:basedOn w:val="MarginNote"/>
    <w:rsid w:val="00863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0BE"/>
    <w:rPr>
      <w:sz w:val="2"/>
      <w:szCs w:val="2"/>
    </w:rPr>
  </w:style>
  <w:style w:type="character" w:customStyle="1" w:styleId="Small">
    <w:name w:val="Small"/>
    <w:basedOn w:val="DefaultParagraphFont"/>
    <w:rsid w:val="008630BE"/>
    <w:rPr>
      <w:sz w:val="16"/>
    </w:rPr>
  </w:style>
  <w:style w:type="paragraph" w:customStyle="1" w:styleId="WideTable">
    <w:name w:val="Wide Table"/>
    <w:basedOn w:val="Normal"/>
    <w:rsid w:val="00863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0BE"/>
  </w:style>
  <w:style w:type="paragraph" w:styleId="Quote">
    <w:name w:val="Quote"/>
    <w:basedOn w:val="Heading1"/>
    <w:link w:val="QuoteChar"/>
    <w:qFormat/>
    <w:rsid w:val="00863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0BE"/>
    <w:pPr>
      <w:pageBreakBefore/>
    </w:pPr>
  </w:style>
  <w:style w:type="paragraph" w:customStyle="1" w:styleId="Border">
    <w:name w:val="Border"/>
    <w:basedOn w:val="Normal"/>
    <w:qFormat/>
    <w:rsid w:val="00863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0BE"/>
    <w:rPr>
      <w:u w:val="single"/>
    </w:rPr>
  </w:style>
  <w:style w:type="character" w:customStyle="1" w:styleId="BoldandItalics">
    <w:name w:val="Bold and Italics"/>
    <w:qFormat/>
    <w:rsid w:val="008630BE"/>
    <w:rPr>
      <w:b/>
      <w:i/>
      <w:u w:val="none"/>
    </w:rPr>
  </w:style>
  <w:style w:type="paragraph" w:styleId="BalloonText">
    <w:name w:val="Balloon Text"/>
    <w:basedOn w:val="Normal"/>
    <w:link w:val="BalloonTextChar"/>
    <w:rsid w:val="00863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0BE"/>
    <w:pPr>
      <w:spacing w:before="0" w:after="0"/>
    </w:pPr>
  </w:style>
  <w:style w:type="paragraph" w:customStyle="1" w:styleId="BodyTextBold">
    <w:name w:val="Body Text Bold"/>
    <w:basedOn w:val="BodyText"/>
    <w:qFormat/>
    <w:rsid w:val="008630BE"/>
    <w:rPr>
      <w:b/>
    </w:rPr>
  </w:style>
  <w:style w:type="character" w:styleId="Hyperlink">
    <w:name w:val="Hyperlink"/>
    <w:basedOn w:val="DefaultParagraphFont"/>
    <w:uiPriority w:val="99"/>
    <w:unhideWhenUsed/>
    <w:rsid w:val="001E5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5254</Characters>
  <Application>Microsoft Office Word</Application>
  <DocSecurity>0</DocSecurity>
  <Lines>194</Lines>
  <Paragraphs>134</Paragraphs>
  <ScaleCrop>false</ScaleCrop>
  <Company>Author-it Software Corporation Ltd.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FNSACC403 Make decisions in a legal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