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4EA" w:rsidP="004B04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FNSACC312 Administer subsidiary accounts and ledgers</w:t>
      </w:r>
      <w:r>
        <w:fldChar w:fldCharType="end"/>
      </w:r>
    </w:p>
    <w:p w:rsidR="004B04EA" w:rsidP="004B04EA">
      <w:pPr>
        <w:pStyle w:val="Version"/>
        <w:sectPr w:rsidSect="007D51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1A2" w:rsidP="007D51A2">
      <w:pPr>
        <w:pStyle w:val="SuperHeading"/>
      </w:pPr>
      <w:r w:rsidRPr="007D51A2">
        <w:t>FNSACC312 Administer subsidiary accounts and ledgers</w:t>
      </w:r>
    </w:p>
    <w:p w:rsidR="00000000" w:rsidRPr="007D51A2" w:rsidP="007D51A2">
      <w:pPr>
        <w:pStyle w:val="Heading1"/>
      </w:pPr>
      <w:bookmarkStart w:id="1" w:name="O_975662"/>
      <w:bookmarkEnd w:id="1"/>
      <w:r w:rsidRPr="007D51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BodyText"/>
            </w:pPr>
            <w:r w:rsidRPr="007D51A2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rPr>
                <w:rStyle w:val="SpecialBold"/>
              </w:rPr>
              <w:t>Comments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BodyText"/>
            </w:pPr>
            <w:r w:rsidRPr="007D51A2">
              <w:t>This version first released with FNS Financial Services Training Package Version 3.0.</w:t>
            </w:r>
          </w:p>
        </w:tc>
      </w:tr>
    </w:tbl>
    <w:p w:rsidR="004B04EA" w:rsidP="007D51A2">
      <w:pPr>
        <w:pStyle w:val="BodyText"/>
      </w:pPr>
    </w:p>
    <w:p w:rsidR="004B04EA" w:rsidP="007D51A2">
      <w:pPr>
        <w:pStyle w:val="BodyText"/>
      </w:pPr>
    </w:p>
    <w:p w:rsidR="00000000" w:rsidRPr="007D51A2" w:rsidP="007D51A2">
      <w:pPr>
        <w:pStyle w:val="Heading1"/>
      </w:pPr>
      <w:bookmarkStart w:id="2" w:name="O_975663"/>
      <w:bookmarkEnd w:id="2"/>
      <w:r w:rsidRPr="007D51A2">
        <w:t>Application</w:t>
      </w:r>
    </w:p>
    <w:p w:rsidR="00000000" w:rsidRPr="007D51A2" w:rsidP="004B04EA">
      <w:pPr>
        <w:pStyle w:val="BodyText"/>
      </w:pPr>
      <w:r w:rsidRPr="007D51A2">
        <w:t>This unit describes the skills and knowledge required to reconcile and monitor su</w:t>
      </w:r>
      <w:r w:rsidRPr="007D51A2">
        <w:t>bsidiary accounts in financial accounts receivable systems, identify bad and doubtful debts and plan a recovery action, record creditor invoices, and remit payments to sundry creditors.</w:t>
      </w:r>
    </w:p>
    <w:p w:rsidR="00000000" w:rsidRPr="007D51A2" w:rsidP="004B04EA">
      <w:pPr>
        <w:pStyle w:val="BodyText"/>
      </w:pPr>
      <w:r w:rsidRPr="007D51A2">
        <w:t>It applies to individuals who use specialised knowledge and follow agr</w:t>
      </w:r>
      <w:r w:rsidRPr="007D51A2">
        <w:t>eed processes to problem solve within the scope of own responsibility.</w:t>
      </w:r>
    </w:p>
    <w:p w:rsidR="004B04EA" w:rsidP="004B04EA">
      <w:pPr>
        <w:pStyle w:val="BodyText"/>
      </w:pPr>
      <w:r w:rsidRPr="007D51A2">
        <w:t>Work functions in the occupational areas where this unit may be used are subject to regulatory requirements. Refer to the FNS Financial Services Training Package Companion Volume Implem</w:t>
      </w:r>
      <w:r w:rsidRPr="007D51A2">
        <w:t>entation Guide or the relevant regulator for specific guidance on regulatory requirements.</w:t>
      </w:r>
    </w:p>
    <w:p w:rsidR="00000000" w:rsidRPr="007D51A2" w:rsidP="007D51A2">
      <w:pPr>
        <w:pStyle w:val="Heading1"/>
      </w:pPr>
      <w:bookmarkStart w:id="3" w:name="O_975666"/>
      <w:bookmarkEnd w:id="3"/>
      <w:r w:rsidRPr="007D51A2">
        <w:t>Unit Sector</w:t>
      </w:r>
    </w:p>
    <w:p w:rsidR="00000000" w:rsidRPr="007D51A2" w:rsidP="004B04EA">
      <w:pPr>
        <w:pStyle w:val="BodyText"/>
      </w:pPr>
      <w:r w:rsidRPr="007D51A2">
        <w:t>Accounting</w:t>
      </w:r>
    </w:p>
    <w:p w:rsidR="00000000" w:rsidRPr="007D51A2" w:rsidP="007D51A2">
      <w:pPr>
        <w:pStyle w:val="Heading1"/>
      </w:pPr>
      <w:bookmarkStart w:id="4" w:name="O_975667"/>
      <w:bookmarkEnd w:id="4"/>
      <w:r w:rsidRPr="007D51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BodyText"/>
            </w:pPr>
            <w:r w:rsidRPr="007D51A2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rPr>
                <w:rStyle w:val="SpecialBold"/>
              </w:rPr>
              <w:t>PERFORMANCE CRITERIA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BodyText"/>
            </w:pPr>
            <w:r w:rsidRPr="007D51A2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1. Review accounts receivable requirements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BodyText"/>
            </w:pPr>
            <w:r w:rsidRPr="007D51A2">
              <w:t>1.1 Check receipts entered into manual accounts receivable system for accuracy, consistency and completeness</w:t>
            </w:r>
          </w:p>
          <w:p w:rsidR="00000000" w:rsidRPr="007D51A2" w:rsidP="007D51A2">
            <w:pPr>
              <w:pStyle w:val="BodyText"/>
            </w:pPr>
            <w:r w:rsidRPr="007D51A2">
              <w:t>1.2 Ide</w:t>
            </w:r>
            <w:r w:rsidRPr="007D51A2">
              <w:t>ntify and make record of incorrect entries according to type and source of receipt</w:t>
            </w:r>
          </w:p>
          <w:p w:rsidR="00000000" w:rsidRPr="007D51A2" w:rsidP="007D51A2">
            <w:pPr>
              <w:pStyle w:val="BodyText"/>
            </w:pPr>
            <w:r w:rsidRPr="007D51A2">
              <w:t>1.3 Identify and investigate discrepancies between monies owed and monies paid according to organisational policies, procedures and guidelines</w:t>
            </w:r>
          </w:p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1.4 Amend receipts entered int</w:t>
            </w:r>
            <w:r w:rsidRPr="007D51A2">
              <w:t>o manual accounts receivable system according to established procedures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2. Identify bad and doubtful debts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BodyText"/>
            </w:pPr>
            <w:r w:rsidRPr="007D51A2">
              <w:t xml:space="preserve">2.1 Review debtor ledger according to organisational policies and guidelines to identify outstanding monies and seek further information where </w:t>
            </w:r>
            <w:r w:rsidRPr="007D51A2">
              <w:t>required</w:t>
            </w:r>
          </w:p>
          <w:p w:rsidR="00000000" w:rsidRPr="007D51A2" w:rsidP="007D51A2">
            <w:pPr>
              <w:pStyle w:val="BodyText"/>
            </w:pPr>
            <w:r w:rsidRPr="007D51A2">
              <w:t>2.2 Verify bad and doubtful debt status through liaison with debtors</w:t>
            </w:r>
          </w:p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2.3 Complete reporting procedures and required documentation for bad and doubtful debts according to organisational policies and guidelines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3. Review client compliance with term</w:t>
            </w:r>
            <w:r w:rsidRPr="007D51A2">
              <w:t>s and conditions and plan recovery action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BodyText"/>
            </w:pPr>
            <w:r w:rsidRPr="007D51A2">
              <w:t>3.1 Identify clients in default of trading terms according to organisational credit policies and operating procedures</w:t>
            </w:r>
          </w:p>
          <w:p w:rsidR="00000000" w:rsidRPr="007D51A2" w:rsidP="007D51A2">
            <w:pPr>
              <w:pStyle w:val="BodyText"/>
            </w:pPr>
            <w:r w:rsidRPr="007D51A2">
              <w:t>3.2 Contact identified clients and promptly and courteously make satisfactory arrangements for p</w:t>
            </w:r>
            <w:r w:rsidRPr="007D51A2">
              <w:t>ayment of outstanding monies</w:t>
            </w:r>
          </w:p>
          <w:p w:rsidR="00000000" w:rsidRPr="007D51A2" w:rsidP="007D51A2">
            <w:pPr>
              <w:pStyle w:val="BodyText"/>
            </w:pPr>
            <w:r w:rsidRPr="007D51A2">
              <w:t>3.3 Action organisational policy and procedures for monies owing that constitute breach of organisational credit policy</w:t>
            </w:r>
          </w:p>
          <w:p w:rsidR="00000000" w:rsidRPr="007D51A2" w:rsidP="007D51A2">
            <w:pPr>
              <w:pStyle w:val="BodyText"/>
            </w:pPr>
            <w:r w:rsidRPr="007D51A2">
              <w:t>3.4 Review previous activities and communication with clients to establish adequacy of follow-up procedures</w:t>
            </w:r>
            <w:r w:rsidRPr="007D51A2">
              <w:t>, and determine whether usual organisational recovery avenues have been exhausted</w:t>
            </w:r>
          </w:p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3.5 Develop plans to pursue debt recovery or to initiate legal action, with measures completed in line with organisational policies, guidelines and timeframes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4. Prepare rep</w:t>
            </w:r>
            <w:r w:rsidRPr="007D51A2">
              <w:t>orts and file documentation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BodyText"/>
            </w:pPr>
            <w:r w:rsidRPr="007D51A2">
              <w:t>4.1 Prepare reports that document accounts receivable, debt recovery type and cause, and debt recovery plan</w:t>
            </w:r>
          </w:p>
          <w:p w:rsidR="00000000" w:rsidRPr="007D51A2" w:rsidP="007D51A2">
            <w:pPr>
              <w:pStyle w:val="BodyText"/>
            </w:pPr>
            <w:r w:rsidRPr="007D51A2">
              <w:t>4.2 Distribute reports to supervisors, managers, and other designated parties</w:t>
            </w:r>
          </w:p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4.3 File documentation according to organi</w:t>
            </w:r>
            <w:r w:rsidRPr="007D51A2">
              <w:t>sational policy and procedures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5. Distribute creditor invoices for authorisation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BodyText"/>
            </w:pPr>
            <w:r w:rsidRPr="007D51A2">
              <w:t>5.1 Identify, investigate and rectify invoice discrepancies and encode and record invoices correctly</w:t>
            </w:r>
          </w:p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5.2 Request authorisation for payment from designated personnel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6. Remit</w:t>
            </w:r>
            <w:r w:rsidRPr="007D51A2">
              <w:t xml:space="preserve"> payments to creditors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BodyText"/>
            </w:pPr>
            <w:r w:rsidRPr="007D51A2">
              <w:t>6.1 Draw up and ensure authorisation of cheque requisition</w:t>
            </w:r>
          </w:p>
          <w:p w:rsidR="00000000" w:rsidRPr="007D51A2" w:rsidP="007D51A2">
            <w:pPr>
              <w:pStyle w:val="BodyText"/>
            </w:pPr>
            <w:r w:rsidRPr="007D51A2">
              <w:t>6.2 Collect and record data relating to creditor details and amounts paid according to organisational guidelines, and prepare report for ratification by management</w:t>
            </w:r>
          </w:p>
          <w:p w:rsidR="00000000" w:rsidRPr="007D51A2" w:rsidP="007D51A2">
            <w:pPr>
              <w:pStyle w:val="BodyText"/>
            </w:pPr>
            <w:r w:rsidRPr="007D51A2">
              <w:t xml:space="preserve">6.3 Prepare creditor payment in line with organisational </w:t>
            </w:r>
            <w:r w:rsidRPr="007D51A2">
              <w:t>requirements</w:t>
            </w:r>
          </w:p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6.4 Prepare journal to record payment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7. Reconcile outstanding balances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BodyText"/>
            </w:pPr>
            <w:r w:rsidRPr="007D51A2">
              <w:t>7.1 Obtain statements of outstanding balances from suppliers where required</w:t>
            </w:r>
          </w:p>
          <w:p w:rsidR="00000000" w:rsidRPr="007D51A2" w:rsidP="007D51A2">
            <w:pPr>
              <w:pStyle w:val="BodyText"/>
            </w:pPr>
            <w:r w:rsidRPr="007D51A2">
              <w:t>7.2 Reconcile balances outstanding to</w:t>
            </w:r>
            <w:r w:rsidRPr="007D51A2">
              <w:t xml:space="preserve"> invoices received</w:t>
            </w:r>
          </w:p>
        </w:tc>
      </w:tr>
    </w:tbl>
    <w:p w:rsidR="00000000" w:rsidRPr="007D51A2" w:rsidP="007D51A2">
      <w:pPr>
        <w:pStyle w:val="BodyText"/>
      </w:pPr>
    </w:p>
    <w:p w:rsidR="00000000" w:rsidRPr="007D51A2" w:rsidP="007D51A2">
      <w:pPr>
        <w:pStyle w:val="AllowPageBreak"/>
      </w:pPr>
    </w:p>
    <w:p w:rsidR="00000000" w:rsidRPr="007D51A2" w:rsidP="007D51A2">
      <w:pPr>
        <w:pStyle w:val="Heading1"/>
      </w:pPr>
      <w:bookmarkStart w:id="5" w:name="O_975668"/>
      <w:bookmarkEnd w:id="5"/>
      <w:r w:rsidRPr="007D51A2">
        <w:t>Foundation Skills</w:t>
      </w:r>
    </w:p>
    <w:p w:rsidR="00000000" w:rsidRPr="004B04EA" w:rsidP="004B04EA">
      <w:pPr>
        <w:pStyle w:val="BodyText"/>
        <w:rPr>
          <w:i/>
        </w:rPr>
      </w:pPr>
      <w:r w:rsidRPr="004B04EA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2"/>
        <w:gridCol w:w="6945"/>
      </w:tblGrid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BodyText"/>
            </w:pPr>
            <w:r w:rsidRPr="007D51A2">
              <w:rPr>
                <w:rStyle w:val="SpecialBold"/>
              </w:rPr>
              <w:t>Skill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rPr>
                <w:rStyle w:val="SpecialBold"/>
              </w:rPr>
              <w:t>Description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Reading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ListBullet"/>
              <w:rPr>
                <w:lang w:val="en-NZ"/>
              </w:rPr>
            </w:pPr>
            <w:r w:rsidRPr="007D51A2">
              <w:t>Analyses discrepancies and errors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Writing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ListBullet"/>
            </w:pPr>
            <w:r w:rsidRPr="007D51A2">
              <w:t>Records information using correct spelling, grammar and terminology</w:t>
            </w:r>
          </w:p>
          <w:p w:rsidR="00000000" w:rsidP="007D51A2">
            <w:pPr>
              <w:pStyle w:val="ListBullet"/>
              <w:rPr>
                <w:lang w:val="en-NZ"/>
              </w:rPr>
            </w:pPr>
            <w:r w:rsidRPr="007D51A2">
              <w:t>Prepares reports of consolidated information and correspondence using logical structure and organisational formats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 xml:space="preserve">Oral communication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ListBullet"/>
              <w:rPr>
                <w:lang w:val="en-NZ"/>
              </w:rPr>
            </w:pPr>
            <w:r w:rsidRPr="007D51A2">
              <w:t>Participates in verbal exchanges with a range of pe</w:t>
            </w:r>
            <w:r w:rsidRPr="007D51A2">
              <w:t>rsonnel and uses questioning and active listening to convey and clarify information and instructions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Numeracy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ListBullet"/>
              <w:rPr>
                <w:lang w:val="en-NZ"/>
              </w:rPr>
            </w:pPr>
            <w:r w:rsidRPr="007D51A2">
              <w:t>Performs mathematical calculations to check accuracy and completeness of numerical and financial data, with a focus on identifying errors and di</w:t>
            </w:r>
            <w:r w:rsidRPr="007D51A2">
              <w:t>screpancies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Navigate the world of work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ListBullet"/>
              <w:rPr>
                <w:lang w:val="en-NZ"/>
              </w:rPr>
            </w:pPr>
            <w:r w:rsidRPr="007D51A2">
              <w:t>Follows organisational protocols, policies and procedures relevant to own role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Interact with others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ListBullet"/>
              <w:rPr>
                <w:lang w:val="en-NZ"/>
              </w:rPr>
            </w:pPr>
            <w:r w:rsidRPr="007D51A2">
              <w:t xml:space="preserve">Follows accepted communication practices and protocols to liaise with others, elicit </w:t>
            </w:r>
            <w:r w:rsidRPr="007D51A2">
              <w:t>and share information, and gain required authorisations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Get the work done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ListBullet"/>
            </w:pPr>
            <w:r w:rsidRPr="007D51A2">
              <w:t>Plans, organises and implements tasks according to organisational requirements</w:t>
            </w:r>
          </w:p>
          <w:p w:rsidR="00000000" w:rsidRPr="007D51A2" w:rsidP="007D51A2">
            <w:pPr>
              <w:pStyle w:val="ListBullet"/>
            </w:pPr>
            <w:r w:rsidRPr="007D51A2">
              <w:t>Responds to predictable problems about payment status or discrepancies by implementing standard, logi</w:t>
            </w:r>
            <w:r w:rsidRPr="007D51A2">
              <w:t>cal solutions</w:t>
            </w:r>
          </w:p>
          <w:p w:rsidR="00000000" w:rsidRPr="007D51A2" w:rsidP="007D51A2">
            <w:pPr>
              <w:pStyle w:val="ListBullet"/>
            </w:pPr>
            <w:r w:rsidRPr="007D51A2">
              <w:t>Uses the main features and functions of digital tools to complete work tasks and to access information</w:t>
            </w:r>
          </w:p>
        </w:tc>
      </w:tr>
    </w:tbl>
    <w:p w:rsidR="00000000" w:rsidRPr="007D51A2" w:rsidP="007D51A2">
      <w:pPr>
        <w:pStyle w:val="BodyText"/>
      </w:pPr>
    </w:p>
    <w:p w:rsidR="00000000" w:rsidRPr="007D51A2" w:rsidP="007D51A2">
      <w:pPr>
        <w:pStyle w:val="AllowPageBreak"/>
      </w:pPr>
    </w:p>
    <w:p w:rsidR="00000000" w:rsidRPr="007D51A2" w:rsidP="007D51A2">
      <w:pPr>
        <w:pStyle w:val="Heading1"/>
      </w:pPr>
      <w:bookmarkStart w:id="6" w:name="O_975670"/>
      <w:bookmarkEnd w:id="6"/>
      <w:r w:rsidRPr="007D51A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8"/>
        <w:gridCol w:w="2284"/>
        <w:gridCol w:w="2284"/>
        <w:gridCol w:w="2284"/>
      </w:tblGrid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BodyText"/>
            </w:pPr>
            <w:r w:rsidRPr="007D51A2">
              <w:rPr>
                <w:rStyle w:val="SpecialBold"/>
              </w:rPr>
              <w:t>Code and title</w:t>
            </w:r>
          </w:p>
          <w:p w:rsidR="00000000" w:rsidRPr="007D51A2" w:rsidP="007D51A2">
            <w:pPr>
              <w:pStyle w:val="BodyText"/>
            </w:pPr>
            <w:r w:rsidRPr="007D51A2">
              <w:rPr>
                <w:rStyle w:val="SpecialBold"/>
              </w:rPr>
              <w:t>current version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BodyText"/>
            </w:pPr>
            <w:r w:rsidRPr="007D51A2">
              <w:rPr>
                <w:rStyle w:val="SpecialBold"/>
              </w:rPr>
              <w:t>Code and title</w:t>
            </w:r>
          </w:p>
          <w:p w:rsidR="00000000" w:rsidRPr="007D51A2" w:rsidP="007D51A2">
            <w:pPr>
              <w:pStyle w:val="BodyText"/>
            </w:pPr>
            <w:r w:rsidRPr="007D51A2">
              <w:rPr>
                <w:rStyle w:val="SpecialBold"/>
              </w:rPr>
              <w:t>previous version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BodyText"/>
            </w:pPr>
            <w:r w:rsidRPr="007D51A2">
              <w:rPr>
                <w:rStyle w:val="SpecialBold"/>
              </w:rPr>
              <w:t>Comments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rPr>
                <w:rStyle w:val="SpecialBold"/>
              </w:rPr>
              <w:t>Equivalence status</w:t>
            </w:r>
          </w:p>
        </w:tc>
      </w:tr>
      <w:tr w:rsidTr="007D5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FNSACC312 Administer subsidiary accounts and ledgers (Release 1)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FNSACC302 Administer subsidiary accounts and ledgers (Release 1)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A2">
            <w:pPr>
              <w:pStyle w:val="BodyText"/>
              <w:rPr>
                <w:lang w:val="en-NZ"/>
              </w:rPr>
            </w:pPr>
            <w:r w:rsidRPr="007D51A2">
              <w:t>Updates to elements, performance criteria and assessment requirements.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A2" w:rsidP="007D51A2">
            <w:pPr>
              <w:pStyle w:val="BodyText"/>
            </w:pPr>
            <w:r w:rsidRPr="007D51A2">
              <w:t>Equivalent unit.</w:t>
            </w:r>
          </w:p>
        </w:tc>
      </w:tr>
    </w:tbl>
    <w:p w:rsidR="004B04EA" w:rsidP="007D51A2">
      <w:pPr>
        <w:pStyle w:val="BodyText"/>
      </w:pPr>
    </w:p>
    <w:p w:rsidR="004B04EA" w:rsidP="007D51A2">
      <w:pPr>
        <w:pStyle w:val="BodyText"/>
      </w:pPr>
    </w:p>
    <w:p w:rsidR="00000000" w:rsidRPr="007D51A2" w:rsidP="007D51A2">
      <w:pPr>
        <w:pStyle w:val="Heading1"/>
      </w:pPr>
      <w:bookmarkStart w:id="7" w:name="O_975677"/>
      <w:bookmarkEnd w:id="7"/>
      <w:r w:rsidRPr="007D51A2">
        <w:t>Links</w:t>
      </w:r>
    </w:p>
    <w:p w:rsidR="00000000" w:rsidRPr="007D51A2" w:rsidP="004B04EA">
      <w:pPr>
        <w:pStyle w:val="BodyText"/>
      </w:pPr>
      <w:r w:rsidRPr="007D51A2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F02F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D51A2" w:rsidP="007D51A2"/>
    <w:sectPr w:rsidSect="007D51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A2" w:rsidRPr="004B04EA" w:rsidP="004B04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EA" w:rsidP="007D51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4EA" w:rsidP="007D51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04EA" w:rsidP="007D51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1A2" w:rsidRPr="004B04EA" w:rsidP="004B04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EA" w:rsidRPr="002D2AF8" w:rsidP="007D51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FNSACC312 Administer subsidiary accounts and ledgers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4B04EA" w:rsidP="007D51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E08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0256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1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1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1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1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1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1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1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1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1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1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1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1A2"/>
  </w:style>
  <w:style w:type="character" w:customStyle="1" w:styleId="Heading1Char">
    <w:name w:val="Heading 1 Char"/>
    <w:basedOn w:val="DefaultParagraphFont"/>
    <w:link w:val="Heading1"/>
    <w:rsid w:val="007D51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1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1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1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1A2"/>
    <w:rPr>
      <w:b/>
      <w:spacing w:val="0"/>
    </w:rPr>
  </w:style>
  <w:style w:type="character" w:styleId="Emphasis">
    <w:name w:val="Emphasis"/>
    <w:basedOn w:val="DefaultParagraphFont"/>
    <w:qFormat/>
    <w:rsid w:val="007D51A2"/>
    <w:rPr>
      <w:i/>
    </w:rPr>
  </w:style>
  <w:style w:type="paragraph" w:customStyle="1" w:styleId="SuperHeading">
    <w:name w:val="SuperHeading"/>
    <w:basedOn w:val="Normal"/>
    <w:rsid w:val="007D51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1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1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1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1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1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1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1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1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1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1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1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1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1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1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1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1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1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1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1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1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51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51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1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1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1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1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1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1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1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1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51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1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1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1A2"/>
  </w:style>
  <w:style w:type="paragraph" w:styleId="TableofFigures">
    <w:name w:val="table of figures"/>
    <w:basedOn w:val="Normal"/>
    <w:next w:val="Normal"/>
    <w:semiHidden/>
    <w:rsid w:val="007D51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1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51A2"/>
    <w:rPr>
      <w:rFonts w:ascii="Wingdings" w:hAnsi="Wingdings"/>
    </w:rPr>
  </w:style>
  <w:style w:type="paragraph" w:customStyle="1" w:styleId="TableHeading">
    <w:name w:val="Table Heading"/>
    <w:basedOn w:val="HeadingBase"/>
    <w:rsid w:val="007D51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1A2"/>
    <w:rPr>
      <w:color w:val="0033CC"/>
      <w:u w:val="none"/>
    </w:rPr>
  </w:style>
  <w:style w:type="paragraph" w:customStyle="1" w:styleId="BodyTextRight">
    <w:name w:val="Body Text Right"/>
    <w:basedOn w:val="BodyText"/>
    <w:rsid w:val="007D51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1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1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1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1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1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1A2"/>
    <w:rPr>
      <w:sz w:val="32"/>
    </w:rPr>
  </w:style>
  <w:style w:type="paragraph" w:customStyle="1" w:styleId="HeadingProcedure">
    <w:name w:val="Heading Procedure"/>
    <w:basedOn w:val="HeadingBase"/>
    <w:next w:val="Normal"/>
    <w:rsid w:val="007D51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1A2"/>
    <w:pPr>
      <w:spacing w:before="60" w:after="60"/>
    </w:pPr>
  </w:style>
  <w:style w:type="paragraph" w:styleId="ListContinue">
    <w:name w:val="List Continue"/>
    <w:basedOn w:val="List"/>
    <w:rsid w:val="007D51A2"/>
    <w:pPr>
      <w:ind w:firstLine="0"/>
    </w:pPr>
  </w:style>
  <w:style w:type="paragraph" w:customStyle="1" w:styleId="ListNote">
    <w:name w:val="List Note"/>
    <w:basedOn w:val="List"/>
    <w:rsid w:val="007D51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1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1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1A2"/>
    <w:rPr>
      <w:rFonts w:ascii="Courier New" w:hAnsi="Courier New"/>
    </w:rPr>
  </w:style>
  <w:style w:type="paragraph" w:customStyle="1" w:styleId="NoteBullet">
    <w:name w:val="Note Bullet"/>
    <w:basedOn w:val="Note"/>
    <w:rsid w:val="007D51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1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1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1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1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51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1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1A2"/>
    <w:rPr>
      <w:b/>
      <w:smallCaps/>
    </w:rPr>
  </w:style>
  <w:style w:type="paragraph" w:customStyle="1" w:styleId="TableListNumber">
    <w:name w:val="Table List Number"/>
    <w:basedOn w:val="ListNumber"/>
    <w:rsid w:val="007D51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1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1A2"/>
    <w:pPr>
      <w:numPr>
        <w:numId w:val="8"/>
      </w:numPr>
    </w:pPr>
  </w:style>
  <w:style w:type="paragraph" w:customStyle="1" w:styleId="ListAlpha2">
    <w:name w:val="List Alpha 2"/>
    <w:basedOn w:val="List2"/>
    <w:rsid w:val="007D51A2"/>
    <w:pPr>
      <w:numPr>
        <w:numId w:val="7"/>
      </w:numPr>
    </w:pPr>
  </w:style>
  <w:style w:type="paragraph" w:styleId="List2">
    <w:name w:val="List 2"/>
    <w:basedOn w:val="BodyText"/>
    <w:rsid w:val="007D51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1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1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1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1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1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51A2"/>
    <w:pPr>
      <w:numPr>
        <w:numId w:val="3"/>
      </w:numPr>
    </w:pPr>
  </w:style>
  <w:style w:type="paragraph" w:styleId="ListContinue2">
    <w:name w:val="List Continue 2"/>
    <w:basedOn w:val="List2"/>
    <w:rsid w:val="007D51A2"/>
    <w:pPr>
      <w:ind w:firstLine="0"/>
    </w:pPr>
  </w:style>
  <w:style w:type="paragraph" w:styleId="ListContinue3">
    <w:name w:val="List Continue 3"/>
    <w:basedOn w:val="List3"/>
    <w:rsid w:val="007D51A2"/>
    <w:pPr>
      <w:ind w:left="1021" w:firstLine="0"/>
    </w:pPr>
  </w:style>
  <w:style w:type="paragraph" w:styleId="ListContinue4">
    <w:name w:val="List Continue 4"/>
    <w:basedOn w:val="List4"/>
    <w:rsid w:val="007D51A2"/>
    <w:pPr>
      <w:ind w:firstLine="0"/>
    </w:pPr>
  </w:style>
  <w:style w:type="paragraph" w:styleId="ListContinue5">
    <w:name w:val="List Continue 5"/>
    <w:basedOn w:val="List5"/>
    <w:rsid w:val="007D51A2"/>
    <w:pPr>
      <w:ind w:firstLine="0"/>
    </w:pPr>
  </w:style>
  <w:style w:type="paragraph" w:styleId="ListNumber3">
    <w:name w:val="List Number 3"/>
    <w:basedOn w:val="List3"/>
    <w:rsid w:val="007D51A2"/>
    <w:pPr>
      <w:numPr>
        <w:numId w:val="4"/>
      </w:numPr>
    </w:pPr>
  </w:style>
  <w:style w:type="paragraph" w:styleId="ListNumber4">
    <w:name w:val="List Number 4"/>
    <w:basedOn w:val="List4"/>
    <w:rsid w:val="007D51A2"/>
    <w:pPr>
      <w:numPr>
        <w:numId w:val="5"/>
      </w:numPr>
    </w:pPr>
  </w:style>
  <w:style w:type="paragraph" w:styleId="ListNumber5">
    <w:name w:val="List Number 5"/>
    <w:basedOn w:val="List5"/>
    <w:rsid w:val="007D51A2"/>
    <w:pPr>
      <w:numPr>
        <w:numId w:val="6"/>
      </w:numPr>
    </w:pPr>
  </w:style>
  <w:style w:type="paragraph" w:styleId="BlockText">
    <w:name w:val="Block Text"/>
    <w:basedOn w:val="Normal"/>
    <w:rsid w:val="007D51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1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1A2"/>
    <w:rPr>
      <w:sz w:val="16"/>
      <w:vertAlign w:val="superscript"/>
    </w:rPr>
  </w:style>
  <w:style w:type="character" w:customStyle="1" w:styleId="Symbols">
    <w:name w:val="Symbols"/>
    <w:basedOn w:val="DefaultParagraphFont"/>
    <w:rsid w:val="007D51A2"/>
    <w:rPr>
      <w:rFonts w:ascii="Symbol" w:hAnsi="Symbol"/>
    </w:rPr>
  </w:style>
  <w:style w:type="character" w:customStyle="1" w:styleId="MenuOptions">
    <w:name w:val="Menu Options"/>
    <w:basedOn w:val="DefaultParagraphFont"/>
    <w:rsid w:val="007D51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1A2"/>
    <w:rPr>
      <w:b/>
    </w:rPr>
  </w:style>
  <w:style w:type="character" w:customStyle="1" w:styleId="Underlined">
    <w:name w:val="Underlined"/>
    <w:basedOn w:val="DefaultParagraphFont"/>
    <w:rsid w:val="007D51A2"/>
    <w:rPr>
      <w:u w:val="single"/>
    </w:rPr>
  </w:style>
  <w:style w:type="paragraph" w:customStyle="1" w:styleId="TableBodyTextRight">
    <w:name w:val="Table Body Text Right"/>
    <w:basedOn w:val="TableBodyText"/>
    <w:rsid w:val="007D51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1A2"/>
    <w:rPr>
      <w:sz w:val="18"/>
    </w:rPr>
  </w:style>
  <w:style w:type="paragraph" w:customStyle="1" w:styleId="BodySmallRight">
    <w:name w:val="Body Small Right"/>
    <w:basedOn w:val="BodyTextRight"/>
    <w:rsid w:val="007D51A2"/>
    <w:rPr>
      <w:sz w:val="18"/>
      <w:szCs w:val="18"/>
    </w:rPr>
  </w:style>
  <w:style w:type="paragraph" w:customStyle="1" w:styleId="MarginEdition">
    <w:name w:val="Margin Edition"/>
    <w:basedOn w:val="MarginNote"/>
    <w:rsid w:val="007D51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1A2"/>
    <w:rPr>
      <w:sz w:val="2"/>
      <w:szCs w:val="2"/>
    </w:rPr>
  </w:style>
  <w:style w:type="character" w:customStyle="1" w:styleId="Small">
    <w:name w:val="Small"/>
    <w:basedOn w:val="DefaultParagraphFont"/>
    <w:rsid w:val="007D51A2"/>
    <w:rPr>
      <w:sz w:val="16"/>
    </w:rPr>
  </w:style>
  <w:style w:type="paragraph" w:customStyle="1" w:styleId="WideTable">
    <w:name w:val="Wide Table"/>
    <w:basedOn w:val="Normal"/>
    <w:rsid w:val="007D51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1A2"/>
  </w:style>
  <w:style w:type="paragraph" w:styleId="Quote">
    <w:name w:val="Quote"/>
    <w:basedOn w:val="Heading1"/>
    <w:link w:val="QuoteChar"/>
    <w:qFormat/>
    <w:rsid w:val="007D51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1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1A2"/>
    <w:pPr>
      <w:pageBreakBefore/>
    </w:pPr>
  </w:style>
  <w:style w:type="paragraph" w:customStyle="1" w:styleId="Border">
    <w:name w:val="Border"/>
    <w:basedOn w:val="Normal"/>
    <w:qFormat/>
    <w:rsid w:val="007D51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1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1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1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1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1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1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1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1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1A2"/>
    <w:rPr>
      <w:u w:val="single"/>
    </w:rPr>
  </w:style>
  <w:style w:type="character" w:customStyle="1" w:styleId="BoldandItalics">
    <w:name w:val="Bold and Italics"/>
    <w:qFormat/>
    <w:rsid w:val="007D51A2"/>
    <w:rPr>
      <w:b/>
      <w:i/>
      <w:u w:val="none"/>
    </w:rPr>
  </w:style>
  <w:style w:type="paragraph" w:styleId="BalloonText">
    <w:name w:val="Balloon Text"/>
    <w:basedOn w:val="Normal"/>
    <w:link w:val="BalloonTextChar"/>
    <w:rsid w:val="007D51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1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1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1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1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1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1A2"/>
    <w:pPr>
      <w:spacing w:before="0" w:after="0"/>
    </w:pPr>
  </w:style>
  <w:style w:type="paragraph" w:customStyle="1" w:styleId="BodyTextBold">
    <w:name w:val="Body Text Bold"/>
    <w:basedOn w:val="BodyText"/>
    <w:qFormat/>
    <w:rsid w:val="007D51A2"/>
    <w:rPr>
      <w:b/>
    </w:rPr>
  </w:style>
  <w:style w:type="character" w:styleId="Hyperlink">
    <w:name w:val="Hyperlink"/>
    <w:basedOn w:val="DefaultParagraphFont"/>
    <w:uiPriority w:val="99"/>
    <w:unhideWhenUsed/>
    <w:rsid w:val="004B04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5091</Characters>
  <Application>Microsoft Office Word</Application>
  <DocSecurity>0</DocSecurity>
  <Lines>175</Lines>
  <Paragraphs>97</Paragraphs>
  <ScaleCrop>false</ScaleCrop>
  <Company>Author-it Software Corporation Ltd.</Company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FNSACC312 Administer subsidiary accounts and ledgers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2022-01-27T02:09:00Z</dcterms:created>
  <dcterms:modified xsi:type="dcterms:W3CDTF">2022-01-27T02:09:00Z</dcterms:modified>
</cp:coreProperties>
</file>