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208" w:rsidP="00264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FNSACC312 Administer subsidiary accounts and ledgers</w:t>
      </w:r>
      <w:r>
        <w:fldChar w:fldCharType="end"/>
      </w:r>
    </w:p>
    <w:p w:rsidR="00264208" w:rsidP="00264208">
      <w:pPr>
        <w:pStyle w:val="Version"/>
        <w:sectPr w:rsidSect="00715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B81" w:rsidP="00715B81">
      <w:pPr>
        <w:pStyle w:val="SuperHeading"/>
      </w:pPr>
      <w:r w:rsidRPr="00715B81">
        <w:t>FNSACC312 Administer subsidiary accounts and ledgers</w:t>
      </w:r>
    </w:p>
    <w:p w:rsidR="00000000" w:rsidRPr="00715B81" w:rsidP="00715B81">
      <w:pPr>
        <w:pStyle w:val="Heading1"/>
      </w:pPr>
      <w:bookmarkStart w:id="1" w:name="O_975662"/>
      <w:bookmarkEnd w:id="1"/>
      <w:r w:rsidRPr="00715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rPr>
                <w:rStyle w:val="SpecialBold"/>
              </w:rPr>
              <w:t>Comments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This version first released with FNS Financial Services Training Package Version 3.0.</w:t>
            </w:r>
          </w:p>
        </w:tc>
      </w:tr>
    </w:tbl>
    <w:p w:rsidR="00264208" w:rsidP="00715B81">
      <w:pPr>
        <w:pStyle w:val="BodyText"/>
      </w:pPr>
    </w:p>
    <w:p w:rsidR="00264208" w:rsidP="00715B81">
      <w:pPr>
        <w:pStyle w:val="BodyText"/>
      </w:pPr>
    </w:p>
    <w:p w:rsidR="00000000" w:rsidRPr="00715B81" w:rsidP="00715B81">
      <w:pPr>
        <w:pStyle w:val="Heading1"/>
      </w:pPr>
      <w:bookmarkStart w:id="2" w:name="O_975663"/>
      <w:bookmarkEnd w:id="2"/>
      <w:r w:rsidRPr="00715B81">
        <w:t>Application</w:t>
      </w:r>
    </w:p>
    <w:p w:rsidR="00000000" w:rsidRPr="00715B81" w:rsidP="00264208">
      <w:pPr>
        <w:pStyle w:val="BodyText"/>
      </w:pPr>
      <w:r w:rsidRPr="00715B81">
        <w:t>This unit describes the skills and knowledge required to reconcile and monitor su</w:t>
      </w:r>
      <w:r w:rsidRPr="00715B81">
        <w:t>bsidiary accounts in financial accounts receivable systems, identify bad and doubtful debts and plan a recovery action, record creditor invoices, and remit payments to sundry creditors.</w:t>
      </w:r>
    </w:p>
    <w:p w:rsidR="00000000" w:rsidRPr="00715B81" w:rsidP="00264208">
      <w:pPr>
        <w:pStyle w:val="BodyText"/>
      </w:pPr>
      <w:r w:rsidRPr="00715B81">
        <w:t>It applies to individuals who use specialised knowledge and follow agr</w:t>
      </w:r>
      <w:r w:rsidRPr="00715B81">
        <w:t>eed processes to problem solve within the scope of own responsibility.</w:t>
      </w:r>
    </w:p>
    <w:p w:rsidR="00264208" w:rsidP="00264208">
      <w:pPr>
        <w:pStyle w:val="BodyText"/>
      </w:pPr>
      <w:r w:rsidRPr="00715B81">
        <w:t>Work functions in the occupational areas where this unit may be used are subject to regulatory requirements. Refer to the FNS Financial Services Training Package Companion Volume Implem</w:t>
      </w:r>
      <w:r w:rsidRPr="00715B81">
        <w:t>entation Guide or the relevant regulator for specific guidance on regulatory requirements.</w:t>
      </w:r>
    </w:p>
    <w:p w:rsidR="00000000" w:rsidRPr="00715B81" w:rsidP="00715B81">
      <w:pPr>
        <w:pStyle w:val="Heading1"/>
      </w:pPr>
      <w:bookmarkStart w:id="3" w:name="O_975666"/>
      <w:bookmarkEnd w:id="3"/>
      <w:r w:rsidRPr="00715B81">
        <w:t>Unit Sector</w:t>
      </w:r>
    </w:p>
    <w:p w:rsidR="00000000" w:rsidRPr="00715B81" w:rsidP="00264208">
      <w:pPr>
        <w:pStyle w:val="BodyText"/>
      </w:pPr>
      <w:r w:rsidRPr="00715B81">
        <w:t>Accounting</w:t>
      </w:r>
    </w:p>
    <w:p w:rsidR="00000000" w:rsidRPr="00715B81" w:rsidP="00715B81">
      <w:pPr>
        <w:pStyle w:val="Heading1"/>
      </w:pPr>
      <w:bookmarkStart w:id="4" w:name="O_975667"/>
      <w:bookmarkEnd w:id="4"/>
      <w:r w:rsidRPr="00715B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rPr>
                <w:rStyle w:val="SpecialBold"/>
              </w:rPr>
              <w:t>PERFORMANCE CRITERIA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1. Review accounts receivable requirements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1.1 Check receipts entered into manual accounts receivable system for accuracy, consistency and completeness</w:t>
            </w:r>
          </w:p>
          <w:p w:rsidR="00000000" w:rsidRPr="00715B81" w:rsidP="00715B81">
            <w:pPr>
              <w:pStyle w:val="BodyText"/>
            </w:pPr>
            <w:r w:rsidRPr="00715B81">
              <w:t>1.2 Ide</w:t>
            </w:r>
            <w:r w:rsidRPr="00715B81">
              <w:t>ntify and make record of incorrect entries according to type and source of receipt</w:t>
            </w:r>
          </w:p>
          <w:p w:rsidR="00000000" w:rsidRPr="00715B81" w:rsidP="00715B81">
            <w:pPr>
              <w:pStyle w:val="BodyText"/>
            </w:pPr>
            <w:r w:rsidRPr="00715B81">
              <w:t>1.3 Identify and investigate discrepancies between monies owed and monies paid according to organisational policies, procedures and guidelines</w:t>
            </w:r>
          </w:p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1.4 Amend receipts entered int</w:t>
            </w:r>
            <w:r w:rsidRPr="00715B81">
              <w:t>o manual accounts receivable system according to established procedures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2. Identify bad and doubtful debts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2.1 Review debtor ledger according to organisational policies and guidelines to identify outstanding monies and seek further information where required</w:t>
            </w:r>
          </w:p>
          <w:p w:rsidR="00000000" w:rsidRPr="00715B81" w:rsidP="00715B81">
            <w:pPr>
              <w:pStyle w:val="BodyText"/>
            </w:pPr>
            <w:r w:rsidRPr="00715B81">
              <w:t>2.2 Verify bad and doubtful debt status through liaison with debtors</w:t>
            </w:r>
          </w:p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2.3 Complete reporting procedures a</w:t>
            </w:r>
            <w:r w:rsidRPr="00715B81">
              <w:t>nd required documentation for bad and doubtful debts according to organisational policies and guidelines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3. Review client compliance with terms and conditions and plan recovery action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3.1 Identify clients in default of trading terms according to organisat</w:t>
            </w:r>
            <w:r w:rsidRPr="00715B81">
              <w:t>ional credit policies and operating procedures</w:t>
            </w:r>
          </w:p>
          <w:p w:rsidR="00000000" w:rsidRPr="00715B81" w:rsidP="00715B81">
            <w:pPr>
              <w:pStyle w:val="BodyText"/>
            </w:pPr>
            <w:r w:rsidRPr="00715B81">
              <w:t>3.2 Contact identified clients and promptly and courteously make satisfactory arrangements for payment of outstanding monies</w:t>
            </w:r>
          </w:p>
          <w:p w:rsidR="00000000" w:rsidRPr="00715B81" w:rsidP="00715B81">
            <w:pPr>
              <w:pStyle w:val="BodyText"/>
            </w:pPr>
            <w:r w:rsidRPr="00715B81">
              <w:t>3.3 Action organisational policy and procedures for monies owing that constitute bre</w:t>
            </w:r>
            <w:r w:rsidRPr="00715B81">
              <w:t>ach of organisational credit policy</w:t>
            </w:r>
          </w:p>
          <w:p w:rsidR="00000000" w:rsidRPr="00715B81" w:rsidP="00715B81">
            <w:pPr>
              <w:pStyle w:val="BodyText"/>
            </w:pPr>
            <w:r w:rsidRPr="00715B81">
              <w:t>3.4 Review previous activities and communication with clients to establish adequacy of follow-up procedures, and determine whether usual organisational recovery avenues have been exhausted</w:t>
            </w:r>
          </w:p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3.5 Develop plans to pursue deb</w:t>
            </w:r>
            <w:r w:rsidRPr="00715B81">
              <w:t>t recovery or to initiate legal action, with measures completed in line with organisational policies, guidelines and timeframes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4. Prepare reports and file documentation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 xml:space="preserve">4.1 Prepare reports that document accounts receivable, debt recovery type and cause, </w:t>
            </w:r>
            <w:r w:rsidRPr="00715B81">
              <w:t>and debt recovery plan</w:t>
            </w:r>
          </w:p>
          <w:p w:rsidR="00000000" w:rsidRPr="00715B81" w:rsidP="00715B81">
            <w:pPr>
              <w:pStyle w:val="BodyText"/>
            </w:pPr>
            <w:r w:rsidRPr="00715B81">
              <w:t>4.2 Distribute reports to supervisors, managers, and other designated parties</w:t>
            </w:r>
          </w:p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4.3 File documentation according to organisational policy and procedures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5. Distribute creditor invoices for authorisation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5.1 Identify, investigate and r</w:t>
            </w:r>
            <w:r w:rsidRPr="00715B81">
              <w:t>ectify invoice discrepancies and encode and record invoices correctly</w:t>
            </w:r>
          </w:p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5.2 Request authorisation for payment from designated personnel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6. Remit payments to creditors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6.1 Draw up and ensure authorisation of cheque requisition</w:t>
            </w:r>
          </w:p>
          <w:p w:rsidR="00000000" w:rsidRPr="00715B81" w:rsidP="00715B81">
            <w:pPr>
              <w:pStyle w:val="BodyText"/>
            </w:pPr>
            <w:r w:rsidRPr="00715B81">
              <w:t>6.2 Collect and record data relating to creditor details and amounts paid according to organisational guidelines, and prepare report for ratification by management</w:t>
            </w:r>
          </w:p>
          <w:p w:rsidR="00000000" w:rsidRPr="00715B81" w:rsidP="00715B81">
            <w:pPr>
              <w:pStyle w:val="BodyText"/>
            </w:pPr>
            <w:r w:rsidRPr="00715B81">
              <w:t xml:space="preserve">6.3 Prepare creditor payment in line with organisational </w:t>
            </w:r>
            <w:r w:rsidRPr="00715B81">
              <w:t>requirements</w:t>
            </w:r>
          </w:p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6.4 Prepare journal to</w:t>
            </w:r>
            <w:r w:rsidRPr="00715B81">
              <w:t xml:space="preserve"> record payment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7. Reconcile outstanding balances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7.1 Obtain statements of outstanding balances from suppliers where required</w:t>
            </w:r>
          </w:p>
          <w:p w:rsidR="00000000" w:rsidRPr="00715B81" w:rsidP="00715B81">
            <w:pPr>
              <w:pStyle w:val="BodyText"/>
            </w:pPr>
            <w:r w:rsidRPr="00715B81">
              <w:t>7.2 Reconcile balances outstanding to invoices received</w:t>
            </w:r>
          </w:p>
        </w:tc>
      </w:tr>
    </w:tbl>
    <w:p w:rsidR="00000000" w:rsidRPr="00715B81" w:rsidP="00715B81">
      <w:pPr>
        <w:pStyle w:val="BodyText"/>
      </w:pPr>
    </w:p>
    <w:p w:rsidR="00000000" w:rsidRPr="00715B81" w:rsidP="00715B81">
      <w:pPr>
        <w:pStyle w:val="AllowPageBreak"/>
      </w:pPr>
    </w:p>
    <w:p w:rsidR="00000000" w:rsidRPr="00715B81" w:rsidP="00715B81">
      <w:pPr>
        <w:pStyle w:val="Heading1"/>
      </w:pPr>
      <w:bookmarkStart w:id="5" w:name="O_975668"/>
      <w:bookmarkEnd w:id="5"/>
      <w:r w:rsidRPr="00715B81">
        <w:t>Foundation Skills</w:t>
      </w:r>
    </w:p>
    <w:p w:rsidR="00000000" w:rsidRPr="00264208" w:rsidP="00264208">
      <w:pPr>
        <w:pStyle w:val="BodyText"/>
        <w:rPr>
          <w:i/>
        </w:rPr>
      </w:pPr>
      <w:r w:rsidRPr="00264208">
        <w:rPr>
          <w:rStyle w:val="Emphasis"/>
        </w:rPr>
        <w:t>This section describes those languag</w:t>
      </w:r>
      <w:r w:rsidRPr="00264208">
        <w:rPr>
          <w:rStyle w:val="Emphasis"/>
        </w:rPr>
        <w:t>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2"/>
        <w:gridCol w:w="6945"/>
      </w:tblGrid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Skill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rPr>
                <w:rStyle w:val="SpecialBold"/>
              </w:rPr>
              <w:t>Description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Reading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ListBullet"/>
              <w:rPr>
                <w:lang w:val="en-NZ"/>
              </w:rPr>
            </w:pPr>
            <w:r w:rsidRPr="00715B81">
              <w:t>Analyses discrepancies and errors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Writing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ListBullet"/>
            </w:pPr>
            <w:r w:rsidRPr="00715B81">
              <w:t>Records information using correct spelling, grammar and terminology</w:t>
            </w:r>
          </w:p>
          <w:p w:rsidR="00000000" w:rsidP="00715B81">
            <w:pPr>
              <w:pStyle w:val="ListBullet"/>
              <w:rPr>
                <w:lang w:val="en-NZ"/>
              </w:rPr>
            </w:pPr>
            <w:r w:rsidRPr="00715B81">
              <w:t>Prepares reports of consolidated information and correspondence using logical structure and organisational formats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 xml:space="preserve">Oral communication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ListBullet"/>
              <w:rPr>
                <w:lang w:val="en-NZ"/>
              </w:rPr>
            </w:pPr>
            <w:r w:rsidRPr="00715B81">
              <w:t>Participates in verbal exchanges with a range of personnel and uses questioning and active listening to convey and clar</w:t>
            </w:r>
            <w:r w:rsidRPr="00715B81">
              <w:t>ify information and instructions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Numeracy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ListBullet"/>
              <w:rPr>
                <w:lang w:val="en-NZ"/>
              </w:rPr>
            </w:pPr>
            <w:r w:rsidRPr="00715B81">
              <w:t>Performs mathematical calculations to check accuracy and completeness of numerical and financial data, with a focus on identifying errors and discrepancies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Navigate the world of work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ListBullet"/>
              <w:rPr>
                <w:lang w:val="en-NZ"/>
              </w:rPr>
            </w:pPr>
            <w:r w:rsidRPr="00715B81">
              <w:t>Follows organisational protocols, policies and procedures relevant to own role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Interact with others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ListBullet"/>
              <w:rPr>
                <w:lang w:val="en-NZ"/>
              </w:rPr>
            </w:pPr>
            <w:r w:rsidRPr="00715B81">
              <w:t>Follows accepted communication practices and protocols to liaise with others, elicit and share information, and gain required authorisations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Get the work</w:t>
            </w:r>
            <w:r w:rsidRPr="00715B81">
              <w:t xml:space="preserve"> done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ListBullet"/>
            </w:pPr>
            <w:r w:rsidRPr="00715B81">
              <w:t>Plans, organises and implements tasks according to organisational requirements</w:t>
            </w:r>
          </w:p>
          <w:p w:rsidR="00000000" w:rsidRPr="00715B81" w:rsidP="00715B81">
            <w:pPr>
              <w:pStyle w:val="ListBullet"/>
            </w:pPr>
            <w:r w:rsidRPr="00715B81">
              <w:t>Responds to predictable problems about payment status or discrepancies by implementing standard, logical solutions</w:t>
            </w:r>
          </w:p>
          <w:p w:rsidR="00000000" w:rsidRPr="00715B81" w:rsidP="00715B81">
            <w:pPr>
              <w:pStyle w:val="ListBullet"/>
            </w:pPr>
            <w:r w:rsidRPr="00715B81">
              <w:t>Uses the main features and functions of digital tools t</w:t>
            </w:r>
            <w:r w:rsidRPr="00715B81">
              <w:t>o complete work tasks and to access information</w:t>
            </w:r>
          </w:p>
        </w:tc>
      </w:tr>
    </w:tbl>
    <w:p w:rsidR="00000000" w:rsidRPr="00715B81" w:rsidP="00715B81">
      <w:pPr>
        <w:pStyle w:val="BodyText"/>
      </w:pPr>
    </w:p>
    <w:p w:rsidR="00000000" w:rsidRPr="00715B81" w:rsidP="00715B81">
      <w:pPr>
        <w:pStyle w:val="AllowPageBreak"/>
      </w:pPr>
    </w:p>
    <w:p w:rsidR="00000000" w:rsidRPr="00715B81" w:rsidP="00715B81">
      <w:pPr>
        <w:pStyle w:val="Heading1"/>
      </w:pPr>
      <w:bookmarkStart w:id="6" w:name="O_975670"/>
      <w:bookmarkEnd w:id="6"/>
      <w:r w:rsidRPr="00715B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2284"/>
        <w:gridCol w:w="2284"/>
        <w:gridCol w:w="2284"/>
      </w:tblGrid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Code and title</w:t>
            </w:r>
          </w:p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Code and title</w:t>
            </w:r>
          </w:p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Comments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rPr>
                <w:rStyle w:val="SpecialBold"/>
              </w:rPr>
              <w:t>Equivalence status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FNSACC312 Administer subsidiary accounts and ledgers (Release 1)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FNSACC302 Administer subsidiary accounts and ledgers (Release 1)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Updates to elements, performance criteria and assessment requirements.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Equivalent unit.</w:t>
            </w:r>
          </w:p>
        </w:tc>
      </w:tr>
    </w:tbl>
    <w:p w:rsidR="00264208" w:rsidP="00715B81">
      <w:pPr>
        <w:pStyle w:val="BodyText"/>
      </w:pPr>
    </w:p>
    <w:p w:rsidR="00264208" w:rsidP="00715B81">
      <w:pPr>
        <w:pStyle w:val="BodyText"/>
      </w:pPr>
    </w:p>
    <w:p w:rsidR="00000000" w:rsidRPr="00715B81" w:rsidP="00715B81">
      <w:pPr>
        <w:pStyle w:val="Heading1"/>
      </w:pPr>
      <w:bookmarkStart w:id="7" w:name="O_975677"/>
      <w:bookmarkEnd w:id="7"/>
      <w:r w:rsidRPr="00715B81">
        <w:t>Links</w:t>
      </w:r>
    </w:p>
    <w:p w:rsidR="00000000" w:rsidRPr="00715B81" w:rsidP="00264208">
      <w:pPr>
        <w:pStyle w:val="BodyText"/>
      </w:pPr>
      <w:r w:rsidRPr="00715B81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57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5B81" w:rsidP="00264208">
      <w:pPr>
        <w:pStyle w:val="BodyText"/>
        <w:sectPr w:rsidSect="00715B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5B81" w:rsidP="00715B81">
      <w:pPr>
        <w:pStyle w:val="SuperHeading"/>
      </w:pPr>
      <w:r w:rsidRPr="00715B81">
        <w:t xml:space="preserve">Assessment </w:t>
      </w:r>
      <w:r w:rsidRPr="00715B81">
        <w:t>Requirements for FNSACC312 Administer subsidiary accounts and ledgers</w:t>
      </w:r>
    </w:p>
    <w:p w:rsidR="00000000" w:rsidRPr="00715B81" w:rsidP="00715B81">
      <w:pPr>
        <w:pStyle w:val="Heading1"/>
      </w:pPr>
      <w:bookmarkStart w:id="8" w:name="O_975672"/>
      <w:bookmarkEnd w:id="8"/>
      <w:r w:rsidRPr="00715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rPr>
                <w:rStyle w:val="SpecialBold"/>
              </w:rPr>
              <w:t>Comments</w:t>
            </w:r>
          </w:p>
        </w:tc>
      </w:tr>
      <w:tr w:rsidTr="00715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81">
            <w:pPr>
              <w:pStyle w:val="BodyText"/>
              <w:rPr>
                <w:lang w:val="en-NZ"/>
              </w:rPr>
            </w:pPr>
            <w:r w:rsidRPr="00715B81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81" w:rsidP="00715B81">
            <w:pPr>
              <w:pStyle w:val="BodyText"/>
            </w:pPr>
            <w:r w:rsidRPr="00715B81">
              <w:t>This version first released with FNS Financial Services Training Package Version 3.0.</w:t>
            </w:r>
          </w:p>
        </w:tc>
      </w:tr>
    </w:tbl>
    <w:p w:rsidR="00264208" w:rsidP="00715B81">
      <w:pPr>
        <w:pStyle w:val="BodyText"/>
      </w:pPr>
    </w:p>
    <w:p w:rsidR="00264208" w:rsidP="00715B81">
      <w:pPr>
        <w:pStyle w:val="BodyText"/>
      </w:pPr>
    </w:p>
    <w:p w:rsidR="00000000" w:rsidRPr="00715B81" w:rsidP="00715B81">
      <w:pPr>
        <w:pStyle w:val="Heading1"/>
      </w:pPr>
      <w:bookmarkStart w:id="9" w:name="O_975673"/>
      <w:bookmarkEnd w:id="9"/>
      <w:r w:rsidRPr="00715B81">
        <w:t>Performance Evidence</w:t>
      </w:r>
    </w:p>
    <w:p w:rsidR="00000000" w:rsidRPr="00715B81" w:rsidP="00264208">
      <w:pPr>
        <w:pStyle w:val="BodyText"/>
      </w:pPr>
      <w:r w:rsidRPr="00715B81">
        <w:t>Evidence of the ability to:</w:t>
      </w:r>
    </w:p>
    <w:p w:rsidR="00000000" w:rsidRPr="00715B81" w:rsidP="00715B81">
      <w:pPr>
        <w:pStyle w:val="ListBullet"/>
      </w:pPr>
      <w:r w:rsidRPr="00715B81">
        <w:t>reconcile and monitor subsidiary accounts according to industry compliance requirements and organisational policies and procedures, including:</w:t>
      </w:r>
    </w:p>
    <w:p w:rsidR="00000000" w:rsidRPr="00715B81" w:rsidP="00715B81">
      <w:pPr>
        <w:pStyle w:val="ListBullet2"/>
      </w:pPr>
      <w:r w:rsidRPr="00715B81">
        <w:t>using required data entry and reporting systems to perform acc</w:t>
      </w:r>
      <w:r w:rsidRPr="00715B81">
        <w:t>ount and ledger administration activities</w:t>
      </w:r>
    </w:p>
    <w:p w:rsidR="00000000" w:rsidRPr="00715B81" w:rsidP="00715B81">
      <w:pPr>
        <w:pStyle w:val="ListBullet2"/>
      </w:pPr>
      <w:r w:rsidRPr="00715B81">
        <w:t>following organisational data validation and reconciliation processes and analysing outcomes of the reconciliation for required actions</w:t>
      </w:r>
    </w:p>
    <w:p w:rsidR="00000000" w:rsidRPr="00715B81" w:rsidP="00715B81">
      <w:pPr>
        <w:pStyle w:val="ListBullet2"/>
      </w:pPr>
      <w:r w:rsidRPr="00715B81">
        <w:t>identifying bad and doubtful debts in a timely manner</w:t>
      </w:r>
    </w:p>
    <w:p w:rsidR="00000000" w:rsidRPr="00715B81" w:rsidP="00715B81">
      <w:pPr>
        <w:pStyle w:val="ListBullet2"/>
      </w:pPr>
      <w:r w:rsidRPr="00715B81">
        <w:t>planning effective debt recovery actions.</w:t>
      </w:r>
    </w:p>
    <w:p w:rsidR="00000000" w:rsidRPr="00715B81" w:rsidP="00715B81">
      <w:pPr>
        <w:pStyle w:val="BodyText"/>
      </w:pPr>
    </w:p>
    <w:p w:rsidR="00264208" w:rsidP="00264208">
      <w:pPr>
        <w:pStyle w:val="BodyText"/>
      </w:pPr>
      <w:r w:rsidRPr="00715B81">
        <w:t>Note: If a specific volume or frequency is not stated, then evidence must be provided at least once.</w:t>
      </w:r>
    </w:p>
    <w:p w:rsidR="00000000" w:rsidRPr="00715B81" w:rsidP="00715B81">
      <w:pPr>
        <w:pStyle w:val="Heading1"/>
      </w:pPr>
      <w:bookmarkStart w:id="10" w:name="O_975674"/>
      <w:bookmarkEnd w:id="10"/>
      <w:r w:rsidRPr="00715B81">
        <w:t>Knowledge Evidence</w:t>
      </w:r>
    </w:p>
    <w:p w:rsidR="00000000" w:rsidRPr="00715B81" w:rsidP="00264208">
      <w:pPr>
        <w:pStyle w:val="BodyText"/>
      </w:pPr>
      <w:r w:rsidRPr="00715B81">
        <w:t>The candidate must be able to demonstrate the following knowledge to effect</w:t>
      </w:r>
      <w:r w:rsidRPr="00715B81">
        <w:t>ively complete the tasks outlined in the elements and performance criteria of this unit, and to manage tasks and reasonably foreseeable contingencies in the context of the work role.</w:t>
      </w:r>
    </w:p>
    <w:p w:rsidR="00000000" w:rsidRPr="00715B81" w:rsidP="00715B81">
      <w:pPr>
        <w:pStyle w:val="ListBullet"/>
      </w:pPr>
      <w:r w:rsidRPr="00715B81">
        <w:t>Key features of debits and credits, and their role in accounting systems</w:t>
      </w:r>
    </w:p>
    <w:p w:rsidR="00000000" w:rsidRPr="00715B81" w:rsidP="00715B81">
      <w:pPr>
        <w:pStyle w:val="ListBullet"/>
      </w:pPr>
      <w:r w:rsidRPr="00715B81">
        <w:t>Procedures for identifying bad or doubtful debts</w:t>
      </w:r>
    </w:p>
    <w:p w:rsidR="00000000" w:rsidRPr="00715B81" w:rsidP="00715B81">
      <w:pPr>
        <w:pStyle w:val="ListBullet"/>
      </w:pPr>
      <w:r w:rsidRPr="00715B81">
        <w:t>Key requirements relating to the administration of subsidiary accounts and ledgers detailed in:</w:t>
      </w:r>
    </w:p>
    <w:p w:rsidR="00000000" w:rsidRPr="00715B81" w:rsidP="00715B81">
      <w:pPr>
        <w:pStyle w:val="ListBullet2"/>
      </w:pPr>
      <w:r w:rsidRPr="00715B81">
        <w:t>legal systems, regulations and procedures</w:t>
      </w:r>
    </w:p>
    <w:p w:rsidR="00000000" w:rsidRPr="00715B81" w:rsidP="00715B81">
      <w:pPr>
        <w:pStyle w:val="ListBullet2"/>
      </w:pPr>
      <w:r w:rsidRPr="00715B81">
        <w:t>industry codes of practice</w:t>
      </w:r>
    </w:p>
    <w:p w:rsidR="00000000" w:rsidRPr="00715B81" w:rsidP="00715B81">
      <w:pPr>
        <w:pStyle w:val="ListBullet"/>
      </w:pPr>
      <w:r w:rsidRPr="00715B81">
        <w:t>Key requirements of organisational policies and procedures relating to reconciling and monitoring financial accounts, including organisational credit policy</w:t>
      </w:r>
    </w:p>
    <w:p w:rsidR="00000000" w:rsidRPr="00715B81" w:rsidP="00715B81">
      <w:pPr>
        <w:pStyle w:val="ListBullet"/>
      </w:pPr>
      <w:r w:rsidRPr="00715B81">
        <w:t>Industry-accepted measures and protocols to remit and collect monies</w:t>
      </w:r>
    </w:p>
    <w:p w:rsidR="00264208" w:rsidP="00715B81">
      <w:pPr>
        <w:pStyle w:val="ListBullet"/>
      </w:pPr>
      <w:r w:rsidRPr="00715B81">
        <w:t xml:space="preserve">Key features of debt recovery </w:t>
      </w:r>
      <w:r w:rsidRPr="00715B81">
        <w:t>plans</w:t>
      </w:r>
    </w:p>
    <w:p w:rsidR="00264208" w:rsidP="00715B81">
      <w:pPr>
        <w:pStyle w:val="ListBullet"/>
      </w:pPr>
    </w:p>
    <w:p w:rsidR="00000000" w:rsidRPr="00715B81" w:rsidP="00715B81">
      <w:pPr>
        <w:pStyle w:val="Heading1"/>
      </w:pPr>
      <w:bookmarkStart w:id="11" w:name="O_975675"/>
      <w:bookmarkEnd w:id="11"/>
      <w:r w:rsidRPr="00715B81">
        <w:t>Assessment Conditions</w:t>
      </w:r>
    </w:p>
    <w:p w:rsidR="00000000" w:rsidRPr="00715B81" w:rsidP="00264208">
      <w:pPr>
        <w:pStyle w:val="BodyText"/>
      </w:pPr>
      <w:r w:rsidRPr="00715B8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715B81" w:rsidP="00715B81">
      <w:pPr>
        <w:pStyle w:val="ListBullet"/>
      </w:pPr>
      <w:r w:rsidRPr="00715B81">
        <w:t>office eq</w:t>
      </w:r>
      <w:r w:rsidRPr="00715B81">
        <w:t>uipment, technology, software and consumables required to reconcile and monitor accounts receivable data systems.</w:t>
      </w:r>
    </w:p>
    <w:p w:rsidR="00000000" w:rsidRPr="00715B81" w:rsidP="00715B81">
      <w:pPr>
        <w:pStyle w:val="BodyText"/>
      </w:pPr>
    </w:p>
    <w:p w:rsidR="00264208" w:rsidP="00264208">
      <w:pPr>
        <w:pStyle w:val="BodyText"/>
      </w:pPr>
      <w:r w:rsidRPr="00715B81">
        <w:t xml:space="preserve">Assessors of this unit must satisfy the assessor requirements in applicable vocational education and training </w:t>
      </w:r>
      <w:r w:rsidRPr="00715B81">
        <w:t xml:space="preserve">legislation, frameworks and/or </w:t>
      </w:r>
      <w:r w:rsidRPr="00715B81">
        <w:t>standards.</w:t>
      </w:r>
    </w:p>
    <w:p w:rsidR="00000000" w:rsidRPr="00715B81" w:rsidP="00715B81">
      <w:pPr>
        <w:pStyle w:val="Heading1"/>
      </w:pPr>
      <w:bookmarkStart w:id="12" w:name="O_975678"/>
      <w:bookmarkEnd w:id="12"/>
      <w:r w:rsidRPr="00715B81">
        <w:t>Links</w:t>
      </w:r>
    </w:p>
    <w:p w:rsidR="00000000" w:rsidRPr="00715B81" w:rsidP="00264208">
      <w:pPr>
        <w:pStyle w:val="BodyText"/>
      </w:pPr>
      <w:r w:rsidRPr="00715B81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57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15B81" w:rsidP="00715B81"/>
    <w:sectPr w:rsidSect="00715B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 w:rsidRPr="00264208" w:rsidP="00264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08" w:rsidP="00715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4208" w:rsidP="00715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4208" w:rsidP="00715B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 w:rsidP="00715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208">
      <w:t>Approved</w:t>
    </w:r>
    <w:r w:rsidR="002642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2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208">
      <w:rPr>
        <w:noProof/>
      </w:rPr>
      <w:t>5</w:t>
    </w:r>
    <w:r>
      <w:rPr>
        <w:noProof/>
      </w:rPr>
      <w:fldChar w:fldCharType="end"/>
    </w:r>
  </w:p>
  <w:p w:rsidR="00715B81" w:rsidP="00715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2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208">
      <w:t>Future Skills Organisation</w:t>
    </w:r>
    <w:r w:rsidR="00264208">
      <w:fldChar w:fldCharType="end"/>
    </w:r>
  </w:p>
  <w:p w:rsidR="00715B81" w:rsidP="00715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B81" w:rsidRPr="00264208" w:rsidP="00264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208" w:rsidRPr="002D2AF8" w:rsidP="00715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FNSACC312 Administer subsidiary accounts and ledgers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4208" w:rsidP="00715B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81" w:rsidRPr="002D2AF8" w:rsidP="00715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208">
      <w:t>FNSACC312 Administer subsidiary accounts and ledgers</w:t>
    </w:r>
    <w:r w:rsidR="002642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208">
      <w:rPr>
        <w:noProof/>
      </w:rPr>
      <w:t>1 March 2025</w:t>
    </w:r>
    <w:r>
      <w:fldChar w:fldCharType="end"/>
    </w:r>
  </w:p>
  <w:p w:rsidR="00715B81" w:rsidP="00715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6A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98D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548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B81"/>
  </w:style>
  <w:style w:type="character" w:customStyle="1" w:styleId="Heading1Char">
    <w:name w:val="Heading 1 Char"/>
    <w:basedOn w:val="DefaultParagraphFont"/>
    <w:link w:val="Heading1"/>
    <w:rsid w:val="00715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B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B81"/>
    <w:rPr>
      <w:b/>
      <w:spacing w:val="0"/>
    </w:rPr>
  </w:style>
  <w:style w:type="paragraph" w:styleId="ListBullet2">
    <w:name w:val="List Bullet 2"/>
    <w:basedOn w:val="List2"/>
    <w:rsid w:val="00715B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5B81"/>
    <w:rPr>
      <w:i/>
    </w:rPr>
  </w:style>
  <w:style w:type="paragraph" w:customStyle="1" w:styleId="SuperHeading">
    <w:name w:val="SuperHeading"/>
    <w:basedOn w:val="Normal"/>
    <w:rsid w:val="00715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5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B81"/>
  </w:style>
  <w:style w:type="paragraph" w:styleId="TableofFigures">
    <w:name w:val="table of figures"/>
    <w:basedOn w:val="Normal"/>
    <w:next w:val="Normal"/>
    <w:semiHidden/>
    <w:rsid w:val="00715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B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5B81"/>
    <w:rPr>
      <w:rFonts w:ascii="Wingdings" w:hAnsi="Wingdings"/>
    </w:rPr>
  </w:style>
  <w:style w:type="paragraph" w:customStyle="1" w:styleId="TableHeading">
    <w:name w:val="Table Heading"/>
    <w:basedOn w:val="HeadingBase"/>
    <w:rsid w:val="00715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B81"/>
    <w:rPr>
      <w:color w:val="0033CC"/>
      <w:u w:val="none"/>
    </w:rPr>
  </w:style>
  <w:style w:type="paragraph" w:customStyle="1" w:styleId="BodyTextRight">
    <w:name w:val="Body Text Right"/>
    <w:basedOn w:val="BodyText"/>
    <w:rsid w:val="00715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B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B81"/>
    <w:rPr>
      <w:sz w:val="32"/>
    </w:rPr>
  </w:style>
  <w:style w:type="paragraph" w:customStyle="1" w:styleId="HeadingProcedure">
    <w:name w:val="Heading Procedure"/>
    <w:basedOn w:val="HeadingBase"/>
    <w:next w:val="Normal"/>
    <w:rsid w:val="00715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B81"/>
    <w:pPr>
      <w:spacing w:before="60" w:after="60"/>
    </w:pPr>
  </w:style>
  <w:style w:type="paragraph" w:styleId="ListContinue">
    <w:name w:val="List Continue"/>
    <w:basedOn w:val="List"/>
    <w:rsid w:val="00715B81"/>
    <w:pPr>
      <w:ind w:firstLine="0"/>
    </w:pPr>
  </w:style>
  <w:style w:type="paragraph" w:customStyle="1" w:styleId="ListNote">
    <w:name w:val="List Note"/>
    <w:basedOn w:val="List"/>
    <w:rsid w:val="00715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B81"/>
    <w:rPr>
      <w:rFonts w:ascii="Courier New" w:hAnsi="Courier New"/>
    </w:rPr>
  </w:style>
  <w:style w:type="paragraph" w:customStyle="1" w:styleId="NoteBullet">
    <w:name w:val="Note Bullet"/>
    <w:basedOn w:val="Note"/>
    <w:rsid w:val="00715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B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5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B81"/>
    <w:rPr>
      <w:b/>
      <w:smallCaps/>
    </w:rPr>
  </w:style>
  <w:style w:type="paragraph" w:customStyle="1" w:styleId="TableListNumber">
    <w:name w:val="Table List Number"/>
    <w:basedOn w:val="ListNumber"/>
    <w:rsid w:val="00715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B81"/>
    <w:pPr>
      <w:numPr>
        <w:numId w:val="9"/>
      </w:numPr>
    </w:pPr>
  </w:style>
  <w:style w:type="paragraph" w:customStyle="1" w:styleId="ListAlpha2">
    <w:name w:val="List Alpha 2"/>
    <w:basedOn w:val="List2"/>
    <w:rsid w:val="00715B81"/>
    <w:pPr>
      <w:numPr>
        <w:numId w:val="8"/>
      </w:numPr>
    </w:pPr>
  </w:style>
  <w:style w:type="paragraph" w:styleId="List2">
    <w:name w:val="List 2"/>
    <w:basedOn w:val="BodyText"/>
    <w:rsid w:val="00715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B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B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5B81"/>
    <w:pPr>
      <w:numPr>
        <w:numId w:val="4"/>
      </w:numPr>
    </w:pPr>
  </w:style>
  <w:style w:type="paragraph" w:styleId="ListContinue2">
    <w:name w:val="List Continue 2"/>
    <w:basedOn w:val="List2"/>
    <w:rsid w:val="00715B81"/>
    <w:pPr>
      <w:ind w:firstLine="0"/>
    </w:pPr>
  </w:style>
  <w:style w:type="paragraph" w:styleId="ListContinue3">
    <w:name w:val="List Continue 3"/>
    <w:basedOn w:val="List3"/>
    <w:rsid w:val="00715B81"/>
    <w:pPr>
      <w:ind w:left="1021" w:firstLine="0"/>
    </w:pPr>
  </w:style>
  <w:style w:type="paragraph" w:styleId="ListContinue4">
    <w:name w:val="List Continue 4"/>
    <w:basedOn w:val="List4"/>
    <w:rsid w:val="00715B81"/>
    <w:pPr>
      <w:ind w:firstLine="0"/>
    </w:pPr>
  </w:style>
  <w:style w:type="paragraph" w:styleId="ListContinue5">
    <w:name w:val="List Continue 5"/>
    <w:basedOn w:val="List5"/>
    <w:rsid w:val="00715B81"/>
    <w:pPr>
      <w:ind w:firstLine="0"/>
    </w:pPr>
  </w:style>
  <w:style w:type="paragraph" w:styleId="ListNumber3">
    <w:name w:val="List Number 3"/>
    <w:basedOn w:val="List3"/>
    <w:rsid w:val="00715B81"/>
    <w:pPr>
      <w:numPr>
        <w:numId w:val="5"/>
      </w:numPr>
    </w:pPr>
  </w:style>
  <w:style w:type="paragraph" w:styleId="ListNumber4">
    <w:name w:val="List Number 4"/>
    <w:basedOn w:val="List4"/>
    <w:rsid w:val="00715B81"/>
    <w:pPr>
      <w:numPr>
        <w:numId w:val="6"/>
      </w:numPr>
    </w:pPr>
  </w:style>
  <w:style w:type="paragraph" w:styleId="ListNumber5">
    <w:name w:val="List Number 5"/>
    <w:basedOn w:val="List5"/>
    <w:rsid w:val="00715B81"/>
    <w:pPr>
      <w:numPr>
        <w:numId w:val="7"/>
      </w:numPr>
    </w:pPr>
  </w:style>
  <w:style w:type="paragraph" w:styleId="BlockText">
    <w:name w:val="Block Text"/>
    <w:basedOn w:val="Normal"/>
    <w:rsid w:val="00715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B81"/>
    <w:rPr>
      <w:sz w:val="16"/>
      <w:vertAlign w:val="superscript"/>
    </w:rPr>
  </w:style>
  <w:style w:type="character" w:customStyle="1" w:styleId="Symbols">
    <w:name w:val="Symbols"/>
    <w:basedOn w:val="DefaultParagraphFont"/>
    <w:rsid w:val="00715B81"/>
    <w:rPr>
      <w:rFonts w:ascii="Symbol" w:hAnsi="Symbol"/>
    </w:rPr>
  </w:style>
  <w:style w:type="character" w:customStyle="1" w:styleId="MenuOptions">
    <w:name w:val="Menu Options"/>
    <w:basedOn w:val="DefaultParagraphFont"/>
    <w:rsid w:val="00715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B81"/>
    <w:rPr>
      <w:b/>
    </w:rPr>
  </w:style>
  <w:style w:type="character" w:customStyle="1" w:styleId="Underlined">
    <w:name w:val="Underlined"/>
    <w:basedOn w:val="DefaultParagraphFont"/>
    <w:rsid w:val="00715B81"/>
    <w:rPr>
      <w:u w:val="single"/>
    </w:rPr>
  </w:style>
  <w:style w:type="paragraph" w:customStyle="1" w:styleId="TableBodyTextRight">
    <w:name w:val="Table Body Text Right"/>
    <w:basedOn w:val="TableBodyText"/>
    <w:rsid w:val="00715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B81"/>
    <w:rPr>
      <w:sz w:val="18"/>
    </w:rPr>
  </w:style>
  <w:style w:type="paragraph" w:customStyle="1" w:styleId="BodySmallRight">
    <w:name w:val="Body Small Right"/>
    <w:basedOn w:val="BodyTextRight"/>
    <w:rsid w:val="00715B81"/>
    <w:rPr>
      <w:sz w:val="18"/>
      <w:szCs w:val="18"/>
    </w:rPr>
  </w:style>
  <w:style w:type="paragraph" w:customStyle="1" w:styleId="MarginEdition">
    <w:name w:val="Margin Edition"/>
    <w:basedOn w:val="MarginNote"/>
    <w:rsid w:val="00715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B81"/>
    <w:rPr>
      <w:sz w:val="2"/>
      <w:szCs w:val="2"/>
    </w:rPr>
  </w:style>
  <w:style w:type="character" w:customStyle="1" w:styleId="Small">
    <w:name w:val="Small"/>
    <w:basedOn w:val="DefaultParagraphFont"/>
    <w:rsid w:val="00715B81"/>
    <w:rPr>
      <w:sz w:val="16"/>
    </w:rPr>
  </w:style>
  <w:style w:type="paragraph" w:customStyle="1" w:styleId="WideTable">
    <w:name w:val="Wide Table"/>
    <w:basedOn w:val="Normal"/>
    <w:rsid w:val="00715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B81"/>
  </w:style>
  <w:style w:type="paragraph" w:styleId="Quote">
    <w:name w:val="Quote"/>
    <w:basedOn w:val="Heading1"/>
    <w:link w:val="QuoteChar"/>
    <w:qFormat/>
    <w:rsid w:val="00715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B81"/>
    <w:pPr>
      <w:pageBreakBefore/>
    </w:pPr>
  </w:style>
  <w:style w:type="paragraph" w:customStyle="1" w:styleId="Border">
    <w:name w:val="Border"/>
    <w:basedOn w:val="Normal"/>
    <w:qFormat/>
    <w:rsid w:val="00715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B81"/>
    <w:rPr>
      <w:u w:val="single"/>
    </w:rPr>
  </w:style>
  <w:style w:type="character" w:customStyle="1" w:styleId="BoldandItalics">
    <w:name w:val="Bold and Italics"/>
    <w:qFormat/>
    <w:rsid w:val="00715B81"/>
    <w:rPr>
      <w:b/>
      <w:i/>
      <w:u w:val="none"/>
    </w:rPr>
  </w:style>
  <w:style w:type="paragraph" w:styleId="BalloonText">
    <w:name w:val="Balloon Text"/>
    <w:basedOn w:val="Normal"/>
    <w:link w:val="BalloonTextChar"/>
    <w:rsid w:val="00715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B81"/>
    <w:pPr>
      <w:spacing w:before="0" w:after="0"/>
    </w:pPr>
  </w:style>
  <w:style w:type="paragraph" w:customStyle="1" w:styleId="BodyTextBold">
    <w:name w:val="Body Text Bold"/>
    <w:basedOn w:val="BodyText"/>
    <w:qFormat/>
    <w:rsid w:val="00715B81"/>
    <w:rPr>
      <w:b/>
    </w:rPr>
  </w:style>
  <w:style w:type="character" w:styleId="Hyperlink">
    <w:name w:val="Hyperlink"/>
    <w:basedOn w:val="DefaultParagraphFont"/>
    <w:uiPriority w:val="99"/>
    <w:unhideWhenUsed/>
    <w:rsid w:val="00264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1089</Words>
  <Characters>7192</Characters>
  <Application>Microsoft Office Word</Application>
  <DocSecurity>0</DocSecurity>
  <Lines>232</Lines>
  <Paragraphs>133</Paragraphs>
  <ScaleCrop>false</ScaleCrop>
  <Company>Author-it Software Corporation Ltd.</Company>
  <LinksUpToDate>false</LinksUpToDate>
  <CharactersWithSpaces>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FNSACC312 Administer subsidiary accounts and ledgers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