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74F" w:rsidP="004E47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FNSACC311 Process financial transactions and extract interim reports</w:t>
      </w:r>
      <w:r>
        <w:fldChar w:fldCharType="end"/>
      </w:r>
    </w:p>
    <w:p w:rsidR="004E474F" w:rsidP="004E474F">
      <w:pPr>
        <w:pStyle w:val="Version"/>
        <w:sectPr w:rsidSect="00CD21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213E" w:rsidP="00CD213E">
      <w:pPr>
        <w:pStyle w:val="SuperHeading"/>
      </w:pPr>
      <w:r w:rsidRPr="00CD213E">
        <w:t>Assessment Requirements for FNSACC311 Process financial transactions and extract interim reports</w:t>
      </w:r>
    </w:p>
    <w:p w:rsidR="00000000" w:rsidRPr="00CD213E" w:rsidP="00CD213E">
      <w:pPr>
        <w:pStyle w:val="Heading1"/>
      </w:pPr>
      <w:bookmarkStart w:id="1" w:name="O_975650"/>
      <w:bookmarkEnd w:id="1"/>
      <w:r w:rsidRPr="00CD21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CD2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13E" w:rsidP="00CD213E">
            <w:pPr>
              <w:pStyle w:val="BodyText"/>
            </w:pPr>
            <w:r w:rsidRPr="00CD213E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13E">
            <w:pPr>
              <w:pStyle w:val="BodyText"/>
              <w:rPr>
                <w:lang w:val="en-NZ"/>
              </w:rPr>
            </w:pPr>
            <w:r w:rsidRPr="00CD213E">
              <w:rPr>
                <w:rStyle w:val="SpecialBold"/>
              </w:rPr>
              <w:t>Comments</w:t>
            </w:r>
          </w:p>
        </w:tc>
      </w:tr>
      <w:tr w:rsidTr="00CD2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13E">
            <w:pPr>
              <w:pStyle w:val="BodyText"/>
              <w:rPr>
                <w:lang w:val="en-NZ"/>
              </w:rPr>
            </w:pPr>
            <w:r w:rsidRPr="00CD213E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13E" w:rsidP="00CD213E">
            <w:pPr>
              <w:pStyle w:val="BodyText"/>
            </w:pPr>
            <w:r w:rsidRPr="00CD213E">
              <w:t>This version first released with FNS Financial Services Training Package Version 3.0.</w:t>
            </w:r>
          </w:p>
        </w:tc>
      </w:tr>
    </w:tbl>
    <w:p w:rsidR="00000000" w:rsidRPr="00CD213E" w:rsidP="00CD213E">
      <w:pPr>
        <w:pStyle w:val="BodyText"/>
      </w:pPr>
    </w:p>
    <w:p w:rsidR="00000000" w:rsidRPr="00CD213E" w:rsidP="00CD213E">
      <w:pPr>
        <w:pStyle w:val="AllowPageBreak"/>
      </w:pPr>
    </w:p>
    <w:p w:rsidR="00000000" w:rsidRPr="00CD213E" w:rsidP="00CD213E">
      <w:pPr>
        <w:pStyle w:val="Heading1"/>
      </w:pPr>
      <w:bookmarkStart w:id="2" w:name="O_975653"/>
      <w:bookmarkEnd w:id="2"/>
      <w:r w:rsidRPr="00CD213E">
        <w:t>Performance Evidence</w:t>
      </w:r>
    </w:p>
    <w:p w:rsidR="00000000" w:rsidRPr="00CD213E" w:rsidP="004E474F">
      <w:pPr>
        <w:pStyle w:val="BodyText"/>
      </w:pPr>
      <w:r w:rsidRPr="00CD213E">
        <w:t>Evidence of the ability to:</w:t>
      </w:r>
    </w:p>
    <w:p w:rsidR="00000000" w:rsidRPr="00CD213E" w:rsidP="00CD213E">
      <w:pPr>
        <w:pStyle w:val="ListBullet"/>
      </w:pPr>
      <w:r w:rsidRPr="00CD213E">
        <w:t>enter and balance deposits and payments</w:t>
      </w:r>
    </w:p>
    <w:p w:rsidR="00000000" w:rsidRPr="00CD213E" w:rsidP="00CD213E">
      <w:pPr>
        <w:pStyle w:val="ListBullet"/>
      </w:pPr>
      <w:r w:rsidRPr="00CD213E">
        <w:t>reconcile banking documentation and process and balance petty cash transactions</w:t>
      </w:r>
    </w:p>
    <w:p w:rsidR="00000000" w:rsidRPr="00CD213E" w:rsidP="00CD213E">
      <w:pPr>
        <w:pStyle w:val="ListBullet"/>
      </w:pPr>
      <w:r w:rsidRPr="00CD213E">
        <w:t>check and verify financial transaction supporting documentation</w:t>
      </w:r>
    </w:p>
    <w:p w:rsidR="00000000" w:rsidRPr="00CD213E" w:rsidP="00CD213E">
      <w:pPr>
        <w:pStyle w:val="ListBullet"/>
      </w:pPr>
      <w:r w:rsidRPr="00CD213E">
        <w:t xml:space="preserve">apply </w:t>
      </w:r>
      <w:r w:rsidRPr="00CD213E">
        <w:t>security and safety measures when preparing and banking receipts</w:t>
      </w:r>
    </w:p>
    <w:p w:rsidR="00000000" w:rsidRPr="00CD213E" w:rsidP="00CD213E">
      <w:pPr>
        <w:pStyle w:val="ListBullet"/>
      </w:pPr>
      <w:r w:rsidRPr="00CD213E">
        <w:t>prepare deposit facilities</w:t>
      </w:r>
    </w:p>
    <w:p w:rsidR="00000000" w:rsidRPr="00CD213E" w:rsidP="00CD213E">
      <w:pPr>
        <w:pStyle w:val="ListBullet"/>
      </w:pPr>
      <w:r w:rsidRPr="00CD213E">
        <w:t>enter data into financial systems and process general and special (cash and credit) journal entries, identifying and correcting errors</w:t>
      </w:r>
    </w:p>
    <w:p w:rsidR="00000000" w:rsidRPr="00CD213E" w:rsidP="00CD213E">
      <w:pPr>
        <w:pStyle w:val="ListBullet"/>
      </w:pPr>
      <w:r w:rsidRPr="00CD213E">
        <w:t>process special transactions</w:t>
      </w:r>
    </w:p>
    <w:p w:rsidR="00000000" w:rsidRPr="00CD213E" w:rsidP="00CD213E">
      <w:pPr>
        <w:pStyle w:val="ListBullet"/>
      </w:pPr>
      <w:r w:rsidRPr="00CD213E">
        <w:t>prepare and authorise journals and check journal processing interim reports</w:t>
      </w:r>
    </w:p>
    <w:p w:rsidR="00000000" w:rsidRPr="00CD213E" w:rsidP="00CD213E">
      <w:pPr>
        <w:pStyle w:val="ListBullet"/>
      </w:pPr>
      <w:r w:rsidRPr="00CD213E">
        <w:t>extract, check and correct a trial balance</w:t>
      </w:r>
    </w:p>
    <w:p w:rsidR="00000000" w:rsidRPr="00CD213E" w:rsidP="00CD213E">
      <w:pPr>
        <w:pStyle w:val="ListBullet"/>
      </w:pPr>
      <w:r w:rsidRPr="00CD213E">
        <w:t>file documentation according to organisational and regulatory requirements.</w:t>
      </w:r>
    </w:p>
    <w:p w:rsidR="00000000" w:rsidRPr="00CD213E" w:rsidP="00CD213E">
      <w:pPr>
        <w:pStyle w:val="BodyText"/>
      </w:pPr>
    </w:p>
    <w:p w:rsidR="004E474F" w:rsidP="004E474F">
      <w:pPr>
        <w:pStyle w:val="BodyText"/>
      </w:pPr>
      <w:r w:rsidRPr="00CD213E">
        <w:t xml:space="preserve">Note: If a specific volume or frequency is not stated, then </w:t>
      </w:r>
      <w:r w:rsidRPr="00CD213E">
        <w:t>evidence must be provided at least once.</w:t>
      </w:r>
    </w:p>
    <w:p w:rsidR="00000000" w:rsidRPr="00CD213E" w:rsidP="00CD213E">
      <w:pPr>
        <w:pStyle w:val="Heading1"/>
      </w:pPr>
      <w:bookmarkStart w:id="3" w:name="O_975652"/>
      <w:bookmarkEnd w:id="3"/>
      <w:r w:rsidRPr="00CD213E">
        <w:t>Knowledge Evidence</w:t>
      </w:r>
    </w:p>
    <w:p w:rsidR="00000000" w:rsidRPr="00CD213E" w:rsidP="004E474F">
      <w:pPr>
        <w:pStyle w:val="BodyText"/>
      </w:pPr>
      <w:r w:rsidRPr="00CD213E">
        <w:t xml:space="preserve">The candidate must be able to demonstrate the following knowledge to effectively complete the tasks outlined in the elements and performance criteria of this unit, and to manage </w:t>
      </w:r>
      <w:r w:rsidRPr="00CD213E">
        <w:t>tasks and reasonably foreseeable contingencies in the context of the work role.</w:t>
      </w:r>
    </w:p>
    <w:p w:rsidR="00000000" w:rsidRPr="00CD213E" w:rsidP="00CD213E">
      <w:pPr>
        <w:pStyle w:val="ListBullet"/>
      </w:pPr>
      <w:r w:rsidRPr="00CD213E">
        <w:t>Key principles and practices of double-entry accounting and accrual accounting systems</w:t>
      </w:r>
    </w:p>
    <w:p w:rsidR="00000000" w:rsidRPr="00CD213E" w:rsidP="00CD213E">
      <w:pPr>
        <w:pStyle w:val="ListBullet"/>
      </w:pPr>
      <w:r w:rsidRPr="00CD213E">
        <w:t>Range of industry-accepted accounting conventions, processes and procedures for the work</w:t>
      </w:r>
      <w:r w:rsidRPr="00CD213E">
        <w:t xml:space="preserve"> tasks described in the performance evidence</w:t>
      </w:r>
    </w:p>
    <w:p w:rsidR="00000000" w:rsidRPr="00CD213E" w:rsidP="00CD213E">
      <w:pPr>
        <w:pStyle w:val="ListBullet"/>
      </w:pPr>
      <w:r w:rsidRPr="00CD213E">
        <w:t>Standard industry banking procedures and guidelines, including:</w:t>
      </w:r>
    </w:p>
    <w:p w:rsidR="00000000" w:rsidRPr="00CD213E" w:rsidP="00CD213E">
      <w:pPr>
        <w:pStyle w:val="ListBullet2"/>
      </w:pPr>
      <w:r w:rsidRPr="00CD213E">
        <w:t>form of ‘proof of lodgement’ for different deposit methods</w:t>
      </w:r>
    </w:p>
    <w:p w:rsidR="00000000" w:rsidRPr="00CD213E" w:rsidP="00CD213E">
      <w:pPr>
        <w:pStyle w:val="ListBullet2"/>
      </w:pPr>
      <w:r w:rsidRPr="00CD213E">
        <w:t>industry-accepted security and safety precautions appropriate to banking method</w:t>
      </w:r>
    </w:p>
    <w:p w:rsidR="00000000" w:rsidRPr="00CD213E" w:rsidP="00CD213E">
      <w:pPr>
        <w:pStyle w:val="ListBullet"/>
      </w:pPr>
      <w:r w:rsidRPr="00CD213E">
        <w:t>Key features of legislative and regulatory requirements relating to processing financial transactions</w:t>
      </w:r>
    </w:p>
    <w:p w:rsidR="00000000" w:rsidRPr="00CD213E" w:rsidP="00CD213E">
      <w:pPr>
        <w:pStyle w:val="ListBullet"/>
      </w:pPr>
      <w:r w:rsidRPr="00CD213E">
        <w:t>Key features of organisational policies and procedures relating to processing financial transactions, including:</w:t>
      </w:r>
    </w:p>
    <w:p w:rsidR="00000000" w:rsidRPr="00CD213E" w:rsidP="00CD213E">
      <w:pPr>
        <w:pStyle w:val="ListBullet2"/>
      </w:pPr>
      <w:r w:rsidRPr="00CD213E">
        <w:t>organisational policy and procedures for</w:t>
      </w:r>
      <w:r w:rsidRPr="00CD213E">
        <w:t xml:space="preserve"> preparing and processing invoices</w:t>
      </w:r>
    </w:p>
    <w:p w:rsidR="00000000" w:rsidRPr="00CD213E" w:rsidP="00CD213E">
      <w:pPr>
        <w:pStyle w:val="ListBullet2"/>
      </w:pPr>
      <w:r w:rsidRPr="00CD213E">
        <w:t>organisational input standards and journal authorisation procedures</w:t>
      </w:r>
    </w:p>
    <w:p w:rsidR="00000000" w:rsidRPr="00CD213E" w:rsidP="00CD213E">
      <w:pPr>
        <w:pStyle w:val="ListBullet2"/>
      </w:pPr>
      <w:r w:rsidRPr="00CD213E">
        <w:t>security procedures for handling electronic payments, cheques and cash</w:t>
      </w:r>
    </w:p>
    <w:p w:rsidR="00000000" w:rsidRPr="00CD213E" w:rsidP="00CD213E">
      <w:pPr>
        <w:pStyle w:val="ListBullet2"/>
      </w:pPr>
      <w:r w:rsidRPr="00CD213E">
        <w:t>safety procedures for specific banking methods</w:t>
      </w:r>
    </w:p>
    <w:p w:rsidR="00000000" w:rsidRPr="00CD213E" w:rsidP="00CD213E">
      <w:pPr>
        <w:pStyle w:val="ListBullet"/>
      </w:pPr>
      <w:r w:rsidRPr="00CD213E">
        <w:t xml:space="preserve">Key features of routine financial </w:t>
      </w:r>
      <w:r w:rsidRPr="00CD213E">
        <w:t>reports, including:</w:t>
      </w:r>
    </w:p>
    <w:p w:rsidR="00000000" w:rsidRPr="00CD213E" w:rsidP="00CD213E">
      <w:pPr>
        <w:pStyle w:val="ListBullet2"/>
      </w:pPr>
      <w:r w:rsidRPr="00CD213E">
        <w:t>trial balances</w:t>
      </w:r>
    </w:p>
    <w:p w:rsidR="00000000" w:rsidRPr="00CD213E" w:rsidP="00CD213E">
      <w:pPr>
        <w:pStyle w:val="ListBullet2"/>
      </w:pPr>
      <w:r w:rsidRPr="00CD213E">
        <w:t>bank account reconciliation reports</w:t>
      </w:r>
    </w:p>
    <w:p w:rsidR="004E474F" w:rsidP="00CD213E">
      <w:pPr>
        <w:pStyle w:val="ListBullet2"/>
      </w:pPr>
      <w:r w:rsidRPr="00CD213E">
        <w:t>interim reports</w:t>
      </w:r>
    </w:p>
    <w:p w:rsidR="004E474F" w:rsidP="00CD213E">
      <w:pPr>
        <w:pStyle w:val="ListBullet2"/>
      </w:pPr>
    </w:p>
    <w:p w:rsidR="00000000" w:rsidRPr="00CD213E" w:rsidP="00CD213E">
      <w:pPr>
        <w:pStyle w:val="Heading1"/>
      </w:pPr>
      <w:bookmarkStart w:id="4" w:name="O_975651"/>
      <w:bookmarkEnd w:id="4"/>
      <w:r w:rsidRPr="00CD213E">
        <w:t>Assessment Conditions</w:t>
      </w:r>
    </w:p>
    <w:p w:rsidR="00000000" w:rsidRPr="00CD213E" w:rsidP="004E474F">
      <w:pPr>
        <w:pStyle w:val="BodyText"/>
      </w:pPr>
      <w:r w:rsidRPr="00CD213E">
        <w:t>Assessment must be conducted in a safe environment where evidence gathered demonstrates consistent performance of typical activities experienced in the accounting field of work and include access to:</w:t>
      </w:r>
    </w:p>
    <w:p w:rsidR="00000000" w:rsidRPr="00CD213E" w:rsidP="00CD213E">
      <w:pPr>
        <w:pStyle w:val="ListBullet"/>
      </w:pPr>
      <w:r w:rsidRPr="00CD213E">
        <w:t xml:space="preserve">office equipment, technology, software and consumables </w:t>
      </w:r>
      <w:r w:rsidRPr="00CD213E">
        <w:t>required to process financial transactions and extract interim reports.</w:t>
      </w:r>
    </w:p>
    <w:p w:rsidR="00000000" w:rsidRPr="00CD213E" w:rsidP="00CD213E">
      <w:pPr>
        <w:pStyle w:val="BodyText"/>
      </w:pPr>
    </w:p>
    <w:p w:rsidR="004E474F" w:rsidP="004E474F">
      <w:pPr>
        <w:pStyle w:val="BodyText"/>
      </w:pPr>
      <w:r w:rsidRPr="00CD213E">
        <w:t>Assessors of this unit must satisfy the assessor requirements in applicable vocational education and training legislation, frameworks and/or standards.</w:t>
      </w:r>
    </w:p>
    <w:p w:rsidR="00000000" w:rsidRPr="00CD213E" w:rsidP="00CD213E">
      <w:pPr>
        <w:pStyle w:val="Heading1"/>
      </w:pPr>
      <w:bookmarkStart w:id="5" w:name="O_975649"/>
      <w:bookmarkEnd w:id="5"/>
      <w:r w:rsidRPr="00CD213E">
        <w:t>Links</w:t>
      </w:r>
    </w:p>
    <w:p w:rsidR="00000000" w:rsidRPr="00CD213E" w:rsidP="004E474F">
      <w:pPr>
        <w:pStyle w:val="BodyText"/>
      </w:pPr>
      <w:r w:rsidRPr="00CD213E">
        <w:t>Compani</w:t>
      </w:r>
      <w:r w:rsidRPr="00CD213E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C19B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D213E" w:rsidP="00CD213E"/>
    <w:sectPr w:rsidSect="00CD21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1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13E" w:rsidRPr="004E474F" w:rsidP="004E47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1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74F" w:rsidP="00CD21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474F" w:rsidP="00CD21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474F" w:rsidP="00CD21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1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7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213E" w:rsidRPr="004E474F" w:rsidP="004E47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1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74F" w:rsidRPr="002D2AF8" w:rsidP="00CD21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FNSACC311 Process financial transactions and extract interim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4E474F" w:rsidP="00CD21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2643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348D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8A25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1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21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21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21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21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21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21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21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21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21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21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213E"/>
  </w:style>
  <w:style w:type="character" w:customStyle="1" w:styleId="Heading1Char">
    <w:name w:val="Heading 1 Char"/>
    <w:basedOn w:val="DefaultParagraphFont"/>
    <w:link w:val="Heading1"/>
    <w:rsid w:val="00CD21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21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21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21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213E"/>
    <w:rPr>
      <w:b/>
      <w:spacing w:val="0"/>
    </w:rPr>
  </w:style>
  <w:style w:type="paragraph" w:styleId="ListBullet2">
    <w:name w:val="List Bullet 2"/>
    <w:basedOn w:val="List2"/>
    <w:rsid w:val="00CD21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21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21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21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21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21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2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2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2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2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21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21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21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21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21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21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21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21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21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21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21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21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21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21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21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21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21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21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21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21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21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21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21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21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21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213E"/>
    <w:rPr>
      <w:i/>
    </w:rPr>
  </w:style>
  <w:style w:type="paragraph" w:styleId="Caption">
    <w:name w:val="caption"/>
    <w:basedOn w:val="BodyText"/>
    <w:next w:val="Normal"/>
    <w:qFormat/>
    <w:rsid w:val="00CD21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21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21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213E"/>
  </w:style>
  <w:style w:type="paragraph" w:styleId="TableofFigures">
    <w:name w:val="table of figures"/>
    <w:basedOn w:val="Normal"/>
    <w:next w:val="Normal"/>
    <w:semiHidden/>
    <w:rsid w:val="00CD21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21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213E"/>
    <w:rPr>
      <w:rFonts w:ascii="Wingdings" w:hAnsi="Wingdings"/>
    </w:rPr>
  </w:style>
  <w:style w:type="paragraph" w:customStyle="1" w:styleId="TableHeading">
    <w:name w:val="Table Heading"/>
    <w:basedOn w:val="HeadingBase"/>
    <w:rsid w:val="00CD21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213E"/>
    <w:rPr>
      <w:color w:val="0033CC"/>
      <w:u w:val="none"/>
    </w:rPr>
  </w:style>
  <w:style w:type="paragraph" w:customStyle="1" w:styleId="BodyTextRight">
    <w:name w:val="Body Text Right"/>
    <w:basedOn w:val="BodyText"/>
    <w:rsid w:val="00CD21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21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21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21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21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21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213E"/>
    <w:rPr>
      <w:sz w:val="32"/>
    </w:rPr>
  </w:style>
  <w:style w:type="paragraph" w:customStyle="1" w:styleId="HeadingProcedure">
    <w:name w:val="Heading Procedure"/>
    <w:basedOn w:val="HeadingBase"/>
    <w:next w:val="Normal"/>
    <w:rsid w:val="00CD21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213E"/>
    <w:pPr>
      <w:spacing w:before="60" w:after="60"/>
    </w:pPr>
  </w:style>
  <w:style w:type="paragraph" w:styleId="ListContinue">
    <w:name w:val="List Continue"/>
    <w:basedOn w:val="List"/>
    <w:rsid w:val="00CD213E"/>
    <w:pPr>
      <w:ind w:firstLine="0"/>
    </w:pPr>
  </w:style>
  <w:style w:type="paragraph" w:customStyle="1" w:styleId="ListNote">
    <w:name w:val="List Note"/>
    <w:basedOn w:val="List"/>
    <w:rsid w:val="00CD21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21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21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213E"/>
    <w:rPr>
      <w:rFonts w:ascii="Courier New" w:hAnsi="Courier New"/>
    </w:rPr>
  </w:style>
  <w:style w:type="paragraph" w:customStyle="1" w:styleId="NoteBullet">
    <w:name w:val="Note Bullet"/>
    <w:basedOn w:val="Note"/>
    <w:rsid w:val="00CD21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21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21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21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21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21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21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213E"/>
    <w:rPr>
      <w:b/>
      <w:smallCaps/>
    </w:rPr>
  </w:style>
  <w:style w:type="paragraph" w:customStyle="1" w:styleId="TableListNumber">
    <w:name w:val="Table List Number"/>
    <w:basedOn w:val="ListNumber"/>
    <w:rsid w:val="00CD21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21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213E"/>
    <w:pPr>
      <w:numPr>
        <w:numId w:val="9"/>
      </w:numPr>
    </w:pPr>
  </w:style>
  <w:style w:type="paragraph" w:customStyle="1" w:styleId="ListAlpha2">
    <w:name w:val="List Alpha 2"/>
    <w:basedOn w:val="List2"/>
    <w:rsid w:val="00CD213E"/>
    <w:pPr>
      <w:numPr>
        <w:numId w:val="8"/>
      </w:numPr>
    </w:pPr>
  </w:style>
  <w:style w:type="paragraph" w:styleId="List2">
    <w:name w:val="List 2"/>
    <w:basedOn w:val="BodyText"/>
    <w:rsid w:val="00CD21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21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21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21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21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21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213E"/>
    <w:pPr>
      <w:numPr>
        <w:numId w:val="4"/>
      </w:numPr>
    </w:pPr>
  </w:style>
  <w:style w:type="paragraph" w:styleId="ListContinue2">
    <w:name w:val="List Continue 2"/>
    <w:basedOn w:val="List2"/>
    <w:rsid w:val="00CD213E"/>
    <w:pPr>
      <w:ind w:firstLine="0"/>
    </w:pPr>
  </w:style>
  <w:style w:type="paragraph" w:styleId="ListContinue3">
    <w:name w:val="List Continue 3"/>
    <w:basedOn w:val="List3"/>
    <w:rsid w:val="00CD213E"/>
    <w:pPr>
      <w:ind w:left="1021" w:firstLine="0"/>
    </w:pPr>
  </w:style>
  <w:style w:type="paragraph" w:styleId="ListContinue4">
    <w:name w:val="List Continue 4"/>
    <w:basedOn w:val="List4"/>
    <w:rsid w:val="00CD213E"/>
    <w:pPr>
      <w:ind w:firstLine="0"/>
    </w:pPr>
  </w:style>
  <w:style w:type="paragraph" w:styleId="ListContinue5">
    <w:name w:val="List Continue 5"/>
    <w:basedOn w:val="List5"/>
    <w:rsid w:val="00CD213E"/>
    <w:pPr>
      <w:ind w:firstLine="0"/>
    </w:pPr>
  </w:style>
  <w:style w:type="paragraph" w:styleId="ListNumber3">
    <w:name w:val="List Number 3"/>
    <w:basedOn w:val="List3"/>
    <w:rsid w:val="00CD213E"/>
    <w:pPr>
      <w:numPr>
        <w:numId w:val="5"/>
      </w:numPr>
    </w:pPr>
  </w:style>
  <w:style w:type="paragraph" w:styleId="ListNumber4">
    <w:name w:val="List Number 4"/>
    <w:basedOn w:val="List4"/>
    <w:rsid w:val="00CD213E"/>
    <w:pPr>
      <w:numPr>
        <w:numId w:val="6"/>
      </w:numPr>
    </w:pPr>
  </w:style>
  <w:style w:type="paragraph" w:styleId="ListNumber5">
    <w:name w:val="List Number 5"/>
    <w:basedOn w:val="List5"/>
    <w:rsid w:val="00CD213E"/>
    <w:pPr>
      <w:numPr>
        <w:numId w:val="7"/>
      </w:numPr>
    </w:pPr>
  </w:style>
  <w:style w:type="paragraph" w:styleId="BlockText">
    <w:name w:val="Block Text"/>
    <w:basedOn w:val="Normal"/>
    <w:rsid w:val="00CD21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21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213E"/>
    <w:rPr>
      <w:sz w:val="16"/>
      <w:vertAlign w:val="superscript"/>
    </w:rPr>
  </w:style>
  <w:style w:type="character" w:customStyle="1" w:styleId="Symbols">
    <w:name w:val="Symbols"/>
    <w:basedOn w:val="DefaultParagraphFont"/>
    <w:rsid w:val="00CD213E"/>
    <w:rPr>
      <w:rFonts w:ascii="Symbol" w:hAnsi="Symbol"/>
    </w:rPr>
  </w:style>
  <w:style w:type="character" w:customStyle="1" w:styleId="MenuOptions">
    <w:name w:val="Menu Options"/>
    <w:basedOn w:val="DefaultParagraphFont"/>
    <w:rsid w:val="00CD21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213E"/>
    <w:rPr>
      <w:b/>
    </w:rPr>
  </w:style>
  <w:style w:type="character" w:customStyle="1" w:styleId="Underlined">
    <w:name w:val="Underlined"/>
    <w:basedOn w:val="DefaultParagraphFont"/>
    <w:rsid w:val="00CD213E"/>
    <w:rPr>
      <w:u w:val="single"/>
    </w:rPr>
  </w:style>
  <w:style w:type="paragraph" w:customStyle="1" w:styleId="TableBodyTextRight">
    <w:name w:val="Table Body Text Right"/>
    <w:basedOn w:val="TableBodyText"/>
    <w:rsid w:val="00CD21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213E"/>
    <w:rPr>
      <w:sz w:val="18"/>
    </w:rPr>
  </w:style>
  <w:style w:type="paragraph" w:customStyle="1" w:styleId="BodySmallRight">
    <w:name w:val="Body Small Right"/>
    <w:basedOn w:val="BodyTextRight"/>
    <w:rsid w:val="00CD213E"/>
    <w:rPr>
      <w:sz w:val="18"/>
      <w:szCs w:val="18"/>
    </w:rPr>
  </w:style>
  <w:style w:type="paragraph" w:customStyle="1" w:styleId="MarginEdition">
    <w:name w:val="Margin Edition"/>
    <w:basedOn w:val="MarginNote"/>
    <w:rsid w:val="00CD21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213E"/>
    <w:rPr>
      <w:sz w:val="2"/>
      <w:szCs w:val="2"/>
    </w:rPr>
  </w:style>
  <w:style w:type="character" w:customStyle="1" w:styleId="Small">
    <w:name w:val="Small"/>
    <w:basedOn w:val="DefaultParagraphFont"/>
    <w:rsid w:val="00CD213E"/>
    <w:rPr>
      <w:sz w:val="16"/>
    </w:rPr>
  </w:style>
  <w:style w:type="paragraph" w:customStyle="1" w:styleId="WideTable">
    <w:name w:val="Wide Table"/>
    <w:basedOn w:val="Normal"/>
    <w:rsid w:val="00CD21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213E"/>
  </w:style>
  <w:style w:type="paragraph" w:styleId="Quote">
    <w:name w:val="Quote"/>
    <w:basedOn w:val="Heading1"/>
    <w:link w:val="QuoteChar"/>
    <w:qFormat/>
    <w:rsid w:val="00CD21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21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213E"/>
    <w:pPr>
      <w:pageBreakBefore/>
    </w:pPr>
  </w:style>
  <w:style w:type="paragraph" w:customStyle="1" w:styleId="Border">
    <w:name w:val="Border"/>
    <w:basedOn w:val="Normal"/>
    <w:qFormat/>
    <w:rsid w:val="00CD21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21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1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1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21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21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21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21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21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213E"/>
    <w:rPr>
      <w:u w:val="single"/>
    </w:rPr>
  </w:style>
  <w:style w:type="character" w:customStyle="1" w:styleId="BoldandItalics">
    <w:name w:val="Bold and Italics"/>
    <w:qFormat/>
    <w:rsid w:val="00CD213E"/>
    <w:rPr>
      <w:b/>
      <w:i/>
      <w:u w:val="none"/>
    </w:rPr>
  </w:style>
  <w:style w:type="paragraph" w:styleId="BalloonText">
    <w:name w:val="Balloon Text"/>
    <w:basedOn w:val="Normal"/>
    <w:link w:val="BalloonTextChar"/>
    <w:rsid w:val="00CD21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21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21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21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21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21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213E"/>
    <w:pPr>
      <w:spacing w:before="0" w:after="0"/>
    </w:pPr>
  </w:style>
  <w:style w:type="paragraph" w:customStyle="1" w:styleId="BodyTextBold">
    <w:name w:val="Body Text Bold"/>
    <w:basedOn w:val="BodyText"/>
    <w:qFormat/>
    <w:rsid w:val="00CD213E"/>
    <w:rPr>
      <w:b/>
    </w:rPr>
  </w:style>
  <w:style w:type="character" w:styleId="Hyperlink">
    <w:name w:val="Hyperlink"/>
    <w:basedOn w:val="DefaultParagraphFont"/>
    <w:uiPriority w:val="99"/>
    <w:unhideWhenUsed/>
    <w:rsid w:val="004E47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2848</Characters>
  <Application>Microsoft Office Word</Application>
  <DocSecurity>0</DocSecurity>
  <Lines>73</Lines>
  <Paragraphs>52</Paragraphs>
  <ScaleCrop>false</ScaleCrop>
  <Company>Author-it Software Corporation Ltd.</Company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FNSACC311 Process financial transactions and extract interim reports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2022-01-27T02:40:00Z</dcterms:created>
  <dcterms:modified xsi:type="dcterms:W3CDTF">2022-01-27T02:40:00Z</dcterms:modified>
</cp:coreProperties>
</file>