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149" w:rsidP="00411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FNSACC302 Administer subsidiary accounts and ledgers</w:t>
      </w:r>
      <w:r>
        <w:fldChar w:fldCharType="end"/>
      </w:r>
    </w:p>
    <w:p w:rsidR="00411149" w:rsidP="00411149">
      <w:pPr>
        <w:pStyle w:val="Version"/>
        <w:sectPr w:rsidSect="00FD3E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E75" w:rsidP="00FD3E75">
      <w:pPr>
        <w:pStyle w:val="SuperHeading"/>
      </w:pPr>
      <w:r w:rsidRPr="00FD3E75">
        <w:t>Assessment Requirements for FNSACC302 Administer subsidiary accounts and ledgers</w:t>
      </w:r>
    </w:p>
    <w:p w:rsidR="00000000" w:rsidRPr="00FD3E75" w:rsidP="00FD3E75">
      <w:pPr>
        <w:pStyle w:val="Heading1"/>
      </w:pPr>
      <w:bookmarkStart w:id="1" w:name="O_670277"/>
      <w:bookmarkEnd w:id="1"/>
      <w:r w:rsidRPr="00FD3E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3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75" w:rsidP="00FD3E75">
            <w:pPr>
              <w:pStyle w:val="BodyText"/>
            </w:pPr>
            <w:r w:rsidRPr="00FD3E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75">
            <w:pPr>
              <w:pStyle w:val="BodyText"/>
              <w:rPr>
                <w:lang w:val="en-NZ"/>
              </w:rPr>
            </w:pPr>
            <w:r w:rsidRPr="00FD3E75">
              <w:rPr>
                <w:rStyle w:val="SpecialBold"/>
              </w:rPr>
              <w:t>Comments</w:t>
            </w:r>
          </w:p>
        </w:tc>
      </w:tr>
      <w:tr w:rsidTr="00FD3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E75">
            <w:pPr>
              <w:pStyle w:val="BodyText"/>
              <w:rPr>
                <w:lang w:val="en-NZ"/>
              </w:rPr>
            </w:pPr>
            <w:r w:rsidRPr="00FD3E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E75" w:rsidP="00FD3E75">
            <w:pPr>
              <w:pStyle w:val="BodyText"/>
            </w:pPr>
            <w:r w:rsidRPr="00FD3E75">
              <w:t>This version first released with FNS Financial Services Training Package Version 1.0.</w:t>
            </w:r>
          </w:p>
        </w:tc>
      </w:tr>
    </w:tbl>
    <w:p w:rsidR="00000000" w:rsidRPr="00FD3E75" w:rsidP="00FD3E75">
      <w:pPr>
        <w:pStyle w:val="BodyText"/>
      </w:pPr>
    </w:p>
    <w:p w:rsidR="00000000" w:rsidRPr="00FD3E75" w:rsidP="00FD3E75">
      <w:pPr>
        <w:pStyle w:val="AllowPageBreak"/>
      </w:pPr>
    </w:p>
    <w:p w:rsidR="00000000" w:rsidRPr="00FD3E75" w:rsidP="00FD3E75">
      <w:pPr>
        <w:pStyle w:val="Heading1"/>
      </w:pPr>
      <w:bookmarkStart w:id="2" w:name="O_670278"/>
      <w:bookmarkEnd w:id="2"/>
      <w:r w:rsidRPr="00FD3E75">
        <w:t>Performance Evidence</w:t>
      </w:r>
    </w:p>
    <w:p w:rsidR="00000000" w:rsidRPr="00FD3E75" w:rsidP="00FD3E75">
      <w:pPr>
        <w:pStyle w:val="BodyText"/>
      </w:pPr>
      <w:r w:rsidRPr="00FD3E75">
        <w:t>Evidence of the ability to:</w:t>
      </w:r>
    </w:p>
    <w:p w:rsidR="00000000" w:rsidRPr="00FD3E75" w:rsidP="00FD3E75">
      <w:pPr>
        <w:pStyle w:val="ListBullet"/>
      </w:pPr>
      <w:r w:rsidRPr="00FD3E75">
        <w:t xml:space="preserve">monitor accounts, following organisational policy and procedures and industry compliance requirements </w:t>
      </w:r>
    </w:p>
    <w:p w:rsidR="00000000" w:rsidRPr="00FD3E75" w:rsidP="00FD3E75">
      <w:pPr>
        <w:pStyle w:val="ListBullet"/>
      </w:pPr>
      <w:r w:rsidRPr="00FD3E75">
        <w:t xml:space="preserve">identify bad and doubtful debts in a timely manner </w:t>
      </w:r>
    </w:p>
    <w:p w:rsidR="00000000" w:rsidRPr="00FD3E75" w:rsidP="00FD3E75">
      <w:pPr>
        <w:pStyle w:val="ListBullet"/>
      </w:pPr>
      <w:r w:rsidRPr="00FD3E75">
        <w:t xml:space="preserve">plan effective recovery actions </w:t>
      </w:r>
    </w:p>
    <w:p w:rsidR="00000000" w:rsidRPr="00FD3E75" w:rsidP="00FD3E75">
      <w:pPr>
        <w:pStyle w:val="ListBullet"/>
      </w:pPr>
      <w:r w:rsidRPr="00FD3E75">
        <w:t>follow bank account reconciliation processes</w:t>
      </w:r>
    </w:p>
    <w:p w:rsidR="00000000" w:rsidRPr="00FD3E75" w:rsidP="00FD3E75">
      <w:pPr>
        <w:pStyle w:val="ListBullet"/>
      </w:pPr>
      <w:r w:rsidRPr="00FD3E75">
        <w:t>use relevant data entry systems accurately.</w:t>
      </w:r>
    </w:p>
    <w:p w:rsidR="00000000" w:rsidRPr="00FD3E75" w:rsidP="00FD3E75">
      <w:pPr>
        <w:pStyle w:val="BodyText"/>
      </w:pPr>
    </w:p>
    <w:p w:rsidR="00000000" w:rsidRPr="00FD3E75" w:rsidP="00FD3E75">
      <w:pPr>
        <w:pStyle w:val="BodyText"/>
      </w:pPr>
      <w:r w:rsidRPr="00FD3E75">
        <w:t>Note: If a specific volume or frequency is not stated, then evidence must be provided at least once.</w:t>
      </w:r>
    </w:p>
    <w:p w:rsidR="00000000" w:rsidRPr="00FD3E75" w:rsidP="00FD3E75">
      <w:pPr>
        <w:pStyle w:val="AllowPageBreak"/>
      </w:pPr>
    </w:p>
    <w:p w:rsidR="00000000" w:rsidRPr="00FD3E75" w:rsidP="00FD3E75">
      <w:pPr>
        <w:pStyle w:val="Heading1"/>
      </w:pPr>
      <w:bookmarkStart w:id="3" w:name="O_670279"/>
      <w:bookmarkEnd w:id="3"/>
      <w:r w:rsidRPr="00FD3E75">
        <w:t>Knowledge Evidence</w:t>
      </w:r>
    </w:p>
    <w:p w:rsidR="00000000" w:rsidRPr="00FD3E75" w:rsidP="00FD3E75">
      <w:pPr>
        <w:pStyle w:val="BodyText"/>
      </w:pPr>
      <w:r w:rsidRPr="00FD3E75">
        <w:t>To complete the unit requirem</w:t>
      </w:r>
      <w:r w:rsidRPr="00FD3E75">
        <w:t>ents safely and effectively, the individual must:</w:t>
      </w:r>
    </w:p>
    <w:p w:rsidR="00000000" w:rsidRPr="00FD3E75" w:rsidP="00FD3E75">
      <w:pPr>
        <w:pStyle w:val="ListBullet"/>
      </w:pPr>
      <w:r w:rsidRPr="00FD3E75">
        <w:t>identify and describe the key features of:</w:t>
      </w:r>
    </w:p>
    <w:p w:rsidR="00000000" w:rsidRPr="00FD3E75" w:rsidP="00FD3E75">
      <w:pPr>
        <w:pStyle w:val="ListBullet2"/>
      </w:pPr>
      <w:r w:rsidRPr="00FD3E75">
        <w:t>accounting principles and practices</w:t>
      </w:r>
    </w:p>
    <w:p w:rsidR="00000000" w:rsidRPr="00FD3E75" w:rsidP="00FD3E75">
      <w:pPr>
        <w:pStyle w:val="ListBullet2"/>
      </w:pPr>
      <w:r w:rsidRPr="00FD3E75">
        <w:t>accounting systems</w:t>
      </w:r>
    </w:p>
    <w:p w:rsidR="00000000" w:rsidRPr="00FD3E75" w:rsidP="00FD3E75">
      <w:pPr>
        <w:pStyle w:val="ListBullet2"/>
      </w:pPr>
      <w:r w:rsidRPr="00FD3E75">
        <w:t>bank account reconciliation processes</w:t>
      </w:r>
    </w:p>
    <w:p w:rsidR="00000000" w:rsidRPr="00FD3E75" w:rsidP="00FD3E75">
      <w:pPr>
        <w:pStyle w:val="ListBullet"/>
      </w:pPr>
      <w:r w:rsidRPr="00FD3E75">
        <w:t>describe how bad or doubtful debts are identified</w:t>
      </w:r>
    </w:p>
    <w:p w:rsidR="00000000" w:rsidRPr="00FD3E75" w:rsidP="00FD3E75">
      <w:pPr>
        <w:pStyle w:val="ListBullet"/>
      </w:pPr>
      <w:r w:rsidRPr="00FD3E75">
        <w:t xml:space="preserve">describe the key </w:t>
      </w:r>
      <w:r w:rsidRPr="00FD3E75">
        <w:t>requirements of:</w:t>
      </w:r>
    </w:p>
    <w:p w:rsidR="00000000" w:rsidRPr="00FD3E75" w:rsidP="00FD3E75">
      <w:pPr>
        <w:pStyle w:val="ListBullet2"/>
      </w:pPr>
      <w:r w:rsidRPr="00FD3E75">
        <w:t xml:space="preserve">legal systems and procedures </w:t>
      </w:r>
    </w:p>
    <w:p w:rsidR="00000000" w:rsidRPr="00FD3E75" w:rsidP="00FD3E75">
      <w:pPr>
        <w:pStyle w:val="ListBullet2"/>
      </w:pPr>
      <w:r w:rsidRPr="00FD3E75">
        <w:t xml:space="preserve">relevant legislation or regulations </w:t>
      </w:r>
    </w:p>
    <w:p w:rsidR="00000000" w:rsidRPr="00FD3E75" w:rsidP="00FD3E75">
      <w:pPr>
        <w:pStyle w:val="ListBullet2"/>
      </w:pPr>
      <w:r w:rsidRPr="00FD3E75">
        <w:t>industry codes of practice</w:t>
      </w:r>
    </w:p>
    <w:p w:rsidR="00000000" w:rsidRPr="00FD3E75" w:rsidP="00FD3E75">
      <w:pPr>
        <w:pStyle w:val="ListBullet2"/>
      </w:pPr>
      <w:r w:rsidRPr="00FD3E75">
        <w:t>industry compliance requirements</w:t>
      </w:r>
    </w:p>
    <w:p w:rsidR="00000000" w:rsidRPr="00FD3E75" w:rsidP="00FD3E75">
      <w:pPr>
        <w:pStyle w:val="ListBullet"/>
      </w:pPr>
      <w:r w:rsidRPr="00FD3E75">
        <w:t xml:space="preserve">outline the key requirements of organisational policy and procedures relating to reconciling </w:t>
      </w:r>
      <w:r w:rsidRPr="00FD3E75">
        <w:t>and monitoring financial accounts</w:t>
      </w:r>
    </w:p>
    <w:p w:rsidR="00000000" w:rsidRPr="00FD3E75" w:rsidP="00FD3E75">
      <w:pPr>
        <w:pStyle w:val="ListBullet"/>
      </w:pPr>
      <w:r w:rsidRPr="00FD3E75">
        <w:t>describe measures to collect monies and features of recovery plans</w:t>
      </w:r>
    </w:p>
    <w:p w:rsidR="00411149" w:rsidP="00FD3E75">
      <w:pPr>
        <w:pStyle w:val="ListBullet"/>
      </w:pPr>
      <w:r w:rsidRPr="00FD3E75">
        <w:t>explain the features and uses of financial spreadsheets.</w:t>
      </w:r>
    </w:p>
    <w:p w:rsidR="00411149" w:rsidP="00FD3E75">
      <w:pPr>
        <w:pStyle w:val="ListBullet"/>
      </w:pPr>
    </w:p>
    <w:p w:rsidR="00000000" w:rsidRPr="00FD3E75" w:rsidP="00FD3E75">
      <w:pPr>
        <w:pStyle w:val="Heading1"/>
      </w:pPr>
      <w:bookmarkStart w:id="4" w:name="O_670280"/>
      <w:bookmarkEnd w:id="4"/>
      <w:r w:rsidRPr="00FD3E75">
        <w:t>Assessment Conditions</w:t>
      </w:r>
    </w:p>
    <w:p w:rsidR="00000000" w:rsidRPr="00FD3E75" w:rsidP="00FD3E75">
      <w:pPr>
        <w:pStyle w:val="BodyText"/>
      </w:pPr>
      <w:r w:rsidRPr="00FD3E75">
        <w:t>Assessment must be conducted in a safe environment where e</w:t>
      </w:r>
      <w:r w:rsidRPr="00FD3E75">
        <w:t>vidence gathered demonstrates consistent performance of typical activities experienced in the accounting field of work and include access to:</w:t>
      </w:r>
    </w:p>
    <w:p w:rsidR="00000000" w:rsidRPr="00FD3E75" w:rsidP="00FD3E75">
      <w:pPr>
        <w:pStyle w:val="ListBullet"/>
      </w:pPr>
      <w:r w:rsidRPr="00FD3E75">
        <w:t>common office equipment, technology, software and consumables</w:t>
      </w:r>
    </w:p>
    <w:p w:rsidR="00000000" w:rsidRPr="00FD3E75" w:rsidP="00FD3E75">
      <w:pPr>
        <w:pStyle w:val="ListBullet"/>
      </w:pPr>
      <w:r w:rsidRPr="00FD3E75">
        <w:t>integrated financial software system and data.</w:t>
      </w:r>
    </w:p>
    <w:p w:rsidR="00000000" w:rsidRPr="00FD3E75" w:rsidP="00FD3E75">
      <w:pPr>
        <w:pStyle w:val="BodyText"/>
      </w:pPr>
    </w:p>
    <w:p w:rsidR="00000000" w:rsidRPr="00FD3E75" w:rsidP="00FD3E75">
      <w:pPr>
        <w:pStyle w:val="BodyText"/>
      </w:pPr>
      <w:r w:rsidRPr="00FD3E75">
        <w:t>Assessors must satisfy NVR/AQTF assessor requirements.</w:t>
      </w:r>
    </w:p>
    <w:p w:rsidR="00000000" w:rsidRPr="00FD3E75" w:rsidP="00FD3E75">
      <w:pPr>
        <w:pStyle w:val="AllowPageBreak"/>
      </w:pPr>
    </w:p>
    <w:p w:rsidR="00000000" w:rsidRPr="00FD3E75" w:rsidP="00FD3E75">
      <w:pPr>
        <w:pStyle w:val="Heading1"/>
      </w:pPr>
      <w:bookmarkStart w:id="5" w:name="O_670283"/>
      <w:bookmarkEnd w:id="5"/>
      <w:r w:rsidRPr="00FD3E75">
        <w:t>Links</w:t>
      </w:r>
    </w:p>
    <w:p w:rsidR="00000000" w:rsidRPr="00FD3E75" w:rsidP="00FD3E75">
      <w:pPr>
        <w:pStyle w:val="BodyText"/>
      </w:pPr>
      <w:r w:rsidRPr="00FD3E75">
        <w:t>Companion volumes available from the IBSA website: http://www.ibsa.org.au/companion_volumes - https://vetnet.education.gov.au/Pages/TrainingDocs.aspx?q=c7200cc8-0566-4f04-b76f-e8</w:t>
      </w:r>
      <w:r w:rsidRPr="00FD3E75">
        <w:t>9fd6f102fe</w:t>
      </w:r>
    </w:p>
    <w:p w:rsidR="00000000" w:rsidRPr="00FD3E75" w:rsidP="00FD3E75"/>
    <w:sectPr w:rsidSect="00FD3E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75" w:rsidRPr="00411149" w:rsidP="00411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49" w:rsidP="00FD3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1149" w:rsidP="00FD3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1149" w:rsidP="00FD3E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75" w:rsidRPr="00411149" w:rsidP="004111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49" w:rsidRPr="002D2AF8" w:rsidP="00FD3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FNSACC302 Administer subsidiary accounts and ledgers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411149" w:rsidP="00FD3E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B203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10E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800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E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E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E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E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E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E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E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E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E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E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E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E75"/>
  </w:style>
  <w:style w:type="character" w:customStyle="1" w:styleId="Heading1Char">
    <w:name w:val="Heading 1 Char"/>
    <w:basedOn w:val="DefaultParagraphFont"/>
    <w:link w:val="Heading1"/>
    <w:rsid w:val="00FD3E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E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E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E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E75"/>
    <w:rPr>
      <w:b/>
      <w:spacing w:val="0"/>
    </w:rPr>
  </w:style>
  <w:style w:type="paragraph" w:styleId="ListBullet2">
    <w:name w:val="List Bullet 2"/>
    <w:basedOn w:val="List2"/>
    <w:rsid w:val="00FD3E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E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E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E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E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E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E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E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E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E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E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E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E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E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E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E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E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E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E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E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E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E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E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E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E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E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E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E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E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E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E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E75"/>
    <w:rPr>
      <w:i/>
    </w:rPr>
  </w:style>
  <w:style w:type="paragraph" w:styleId="Caption">
    <w:name w:val="caption"/>
    <w:basedOn w:val="BodyText"/>
    <w:next w:val="Normal"/>
    <w:qFormat/>
    <w:rsid w:val="00FD3E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E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E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E75"/>
  </w:style>
  <w:style w:type="paragraph" w:styleId="TableofFigures">
    <w:name w:val="table of figures"/>
    <w:basedOn w:val="Normal"/>
    <w:next w:val="Normal"/>
    <w:semiHidden/>
    <w:rsid w:val="00FD3E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E75"/>
    <w:pPr>
      <w:numPr>
        <w:numId w:val="11"/>
      </w:numPr>
    </w:pPr>
  </w:style>
  <w:style w:type="character" w:customStyle="1" w:styleId="WingdingSymbols">
    <w:name w:val="Wingding Symbols"/>
    <w:rsid w:val="00FD3E75"/>
    <w:rPr>
      <w:rFonts w:ascii="Wingdings" w:hAnsi="Wingdings"/>
    </w:rPr>
  </w:style>
  <w:style w:type="paragraph" w:customStyle="1" w:styleId="TableHeading">
    <w:name w:val="Table Heading"/>
    <w:basedOn w:val="HeadingBase"/>
    <w:rsid w:val="00FD3E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E75"/>
    <w:rPr>
      <w:color w:val="0033CC"/>
      <w:u w:val="none"/>
    </w:rPr>
  </w:style>
  <w:style w:type="paragraph" w:customStyle="1" w:styleId="BodyTextRight">
    <w:name w:val="Body Text Right"/>
    <w:basedOn w:val="BodyText"/>
    <w:rsid w:val="00FD3E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E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E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E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E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E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E75"/>
    <w:rPr>
      <w:sz w:val="32"/>
    </w:rPr>
  </w:style>
  <w:style w:type="paragraph" w:customStyle="1" w:styleId="HeadingProcedure">
    <w:name w:val="Heading Procedure"/>
    <w:basedOn w:val="HeadingBase"/>
    <w:next w:val="Normal"/>
    <w:rsid w:val="00FD3E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E75"/>
    <w:pPr>
      <w:spacing w:before="60" w:after="60"/>
    </w:pPr>
  </w:style>
  <w:style w:type="paragraph" w:styleId="ListContinue">
    <w:name w:val="List Continue"/>
    <w:basedOn w:val="List"/>
    <w:rsid w:val="00FD3E75"/>
    <w:pPr>
      <w:ind w:firstLine="0"/>
    </w:pPr>
  </w:style>
  <w:style w:type="paragraph" w:customStyle="1" w:styleId="ListNote">
    <w:name w:val="List Note"/>
    <w:basedOn w:val="List"/>
    <w:rsid w:val="00FD3E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E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E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E75"/>
    <w:rPr>
      <w:rFonts w:ascii="Courier New" w:hAnsi="Courier New"/>
    </w:rPr>
  </w:style>
  <w:style w:type="paragraph" w:customStyle="1" w:styleId="NoteBullet">
    <w:name w:val="Note Bullet"/>
    <w:basedOn w:val="Note"/>
    <w:rsid w:val="00FD3E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E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E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E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E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3E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E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E75"/>
    <w:rPr>
      <w:b/>
      <w:smallCaps/>
    </w:rPr>
  </w:style>
  <w:style w:type="paragraph" w:customStyle="1" w:styleId="TableListNumber">
    <w:name w:val="Table List Number"/>
    <w:basedOn w:val="ListNumber"/>
    <w:rsid w:val="00FD3E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E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E75"/>
    <w:pPr>
      <w:numPr>
        <w:numId w:val="9"/>
      </w:numPr>
    </w:pPr>
  </w:style>
  <w:style w:type="paragraph" w:customStyle="1" w:styleId="ListAlpha2">
    <w:name w:val="List Alpha 2"/>
    <w:basedOn w:val="List2"/>
    <w:rsid w:val="00FD3E75"/>
    <w:pPr>
      <w:numPr>
        <w:numId w:val="8"/>
      </w:numPr>
    </w:pPr>
  </w:style>
  <w:style w:type="paragraph" w:styleId="List2">
    <w:name w:val="List 2"/>
    <w:basedOn w:val="BodyText"/>
    <w:rsid w:val="00FD3E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E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E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E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E7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E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E75"/>
    <w:pPr>
      <w:numPr>
        <w:numId w:val="4"/>
      </w:numPr>
    </w:pPr>
  </w:style>
  <w:style w:type="paragraph" w:styleId="ListContinue2">
    <w:name w:val="List Continue 2"/>
    <w:basedOn w:val="List2"/>
    <w:rsid w:val="00FD3E75"/>
    <w:pPr>
      <w:ind w:firstLine="0"/>
    </w:pPr>
  </w:style>
  <w:style w:type="paragraph" w:styleId="ListContinue3">
    <w:name w:val="List Continue 3"/>
    <w:basedOn w:val="List3"/>
    <w:rsid w:val="00FD3E75"/>
    <w:pPr>
      <w:ind w:left="1021" w:firstLine="0"/>
    </w:pPr>
  </w:style>
  <w:style w:type="paragraph" w:styleId="ListContinue4">
    <w:name w:val="List Continue 4"/>
    <w:basedOn w:val="List4"/>
    <w:rsid w:val="00FD3E75"/>
    <w:pPr>
      <w:ind w:firstLine="0"/>
    </w:pPr>
  </w:style>
  <w:style w:type="paragraph" w:styleId="ListContinue5">
    <w:name w:val="List Continue 5"/>
    <w:basedOn w:val="List5"/>
    <w:rsid w:val="00FD3E75"/>
    <w:pPr>
      <w:ind w:firstLine="0"/>
    </w:pPr>
  </w:style>
  <w:style w:type="paragraph" w:styleId="ListNumber3">
    <w:name w:val="List Number 3"/>
    <w:basedOn w:val="List3"/>
    <w:rsid w:val="00FD3E75"/>
    <w:pPr>
      <w:numPr>
        <w:numId w:val="5"/>
      </w:numPr>
    </w:pPr>
  </w:style>
  <w:style w:type="paragraph" w:styleId="ListNumber4">
    <w:name w:val="List Number 4"/>
    <w:basedOn w:val="List4"/>
    <w:rsid w:val="00FD3E75"/>
    <w:pPr>
      <w:numPr>
        <w:numId w:val="6"/>
      </w:numPr>
    </w:pPr>
  </w:style>
  <w:style w:type="paragraph" w:styleId="ListNumber5">
    <w:name w:val="List Number 5"/>
    <w:basedOn w:val="List5"/>
    <w:rsid w:val="00FD3E75"/>
    <w:pPr>
      <w:numPr>
        <w:numId w:val="7"/>
      </w:numPr>
    </w:pPr>
  </w:style>
  <w:style w:type="paragraph" w:styleId="BlockText">
    <w:name w:val="Block Text"/>
    <w:basedOn w:val="Normal"/>
    <w:rsid w:val="00FD3E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E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E75"/>
    <w:rPr>
      <w:sz w:val="16"/>
      <w:vertAlign w:val="superscript"/>
    </w:rPr>
  </w:style>
  <w:style w:type="character" w:customStyle="1" w:styleId="Symbols">
    <w:name w:val="Symbols"/>
    <w:basedOn w:val="DefaultParagraphFont"/>
    <w:rsid w:val="00FD3E75"/>
    <w:rPr>
      <w:rFonts w:ascii="Symbol" w:hAnsi="Symbol"/>
    </w:rPr>
  </w:style>
  <w:style w:type="character" w:customStyle="1" w:styleId="MenuOptions">
    <w:name w:val="Menu Options"/>
    <w:basedOn w:val="DefaultParagraphFont"/>
    <w:rsid w:val="00FD3E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E75"/>
    <w:rPr>
      <w:b/>
    </w:rPr>
  </w:style>
  <w:style w:type="character" w:customStyle="1" w:styleId="Underlined">
    <w:name w:val="Underlined"/>
    <w:basedOn w:val="DefaultParagraphFont"/>
    <w:rsid w:val="00FD3E75"/>
    <w:rPr>
      <w:u w:val="single"/>
    </w:rPr>
  </w:style>
  <w:style w:type="paragraph" w:customStyle="1" w:styleId="TableBodyTextRight">
    <w:name w:val="Table Body Text Right"/>
    <w:basedOn w:val="TableBodyText"/>
    <w:rsid w:val="00FD3E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E75"/>
    <w:rPr>
      <w:sz w:val="18"/>
    </w:rPr>
  </w:style>
  <w:style w:type="paragraph" w:customStyle="1" w:styleId="BodySmallRight">
    <w:name w:val="Body Small Right"/>
    <w:basedOn w:val="BodyTextRight"/>
    <w:rsid w:val="00FD3E75"/>
    <w:rPr>
      <w:sz w:val="18"/>
      <w:szCs w:val="18"/>
    </w:rPr>
  </w:style>
  <w:style w:type="paragraph" w:customStyle="1" w:styleId="MarginEdition">
    <w:name w:val="Margin Edition"/>
    <w:basedOn w:val="MarginNote"/>
    <w:rsid w:val="00FD3E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E75"/>
    <w:rPr>
      <w:sz w:val="2"/>
      <w:szCs w:val="2"/>
    </w:rPr>
  </w:style>
  <w:style w:type="character" w:customStyle="1" w:styleId="Small">
    <w:name w:val="Small"/>
    <w:basedOn w:val="DefaultParagraphFont"/>
    <w:rsid w:val="00FD3E75"/>
    <w:rPr>
      <w:sz w:val="16"/>
    </w:rPr>
  </w:style>
  <w:style w:type="paragraph" w:customStyle="1" w:styleId="WideTable">
    <w:name w:val="Wide Table"/>
    <w:basedOn w:val="Normal"/>
    <w:rsid w:val="00FD3E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E75"/>
  </w:style>
  <w:style w:type="paragraph" w:styleId="Quote">
    <w:name w:val="Quote"/>
    <w:basedOn w:val="Heading1"/>
    <w:link w:val="QuoteChar"/>
    <w:qFormat/>
    <w:rsid w:val="00FD3E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E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E75"/>
    <w:pPr>
      <w:pageBreakBefore/>
    </w:pPr>
  </w:style>
  <w:style w:type="paragraph" w:customStyle="1" w:styleId="Border">
    <w:name w:val="Border"/>
    <w:basedOn w:val="Normal"/>
    <w:qFormat/>
    <w:rsid w:val="00FD3E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E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E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E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E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E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E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E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E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E75"/>
    <w:rPr>
      <w:u w:val="single"/>
    </w:rPr>
  </w:style>
  <w:style w:type="character" w:customStyle="1" w:styleId="BoldandItalics">
    <w:name w:val="Bold and Italics"/>
    <w:qFormat/>
    <w:rsid w:val="00FD3E75"/>
    <w:rPr>
      <w:b/>
      <w:i/>
      <w:u w:val="none"/>
    </w:rPr>
  </w:style>
  <w:style w:type="paragraph" w:styleId="BalloonText">
    <w:name w:val="Balloon Text"/>
    <w:basedOn w:val="Normal"/>
    <w:link w:val="BalloonTextChar"/>
    <w:rsid w:val="00FD3E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E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E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E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E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E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1777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FNSACC302 Administer subsidiary accounts and ledgers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2016-09-12T09:14:00Z</dcterms:created>
  <dcterms:modified xsi:type="dcterms:W3CDTF">2016-09-12T09:14:00Z</dcterms:modified>
</cp:coreProperties>
</file>