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7D8" w:rsidP="007517D8">
      <w:pPr>
        <w:pStyle w:val="Title"/>
      </w:pPr>
      <w:r>
        <w:fldChar w:fldCharType="begin"/>
      </w:r>
      <w:r>
        <w:instrText xml:space="preserve"> TITLE   \* MERGEFORMAT </w:instrText>
      </w:r>
      <w:r>
        <w:fldChar w:fldCharType="separate"/>
      </w:r>
      <w:r>
        <w:t>FNS42022 Certificate IV</w:t>
      </w:r>
      <w:r>
        <w:t xml:space="preserve"> in Banking Services</w:t>
      </w:r>
      <w:r>
        <w:fldChar w:fldCharType="end"/>
      </w:r>
    </w:p>
    <w:p w:rsidR="007517D8" w:rsidP="007517D8">
      <w:pPr>
        <w:pStyle w:val="Version"/>
        <w:sectPr w:rsidSect="00FE1D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D6C" w:rsidP="00FE1D6C">
      <w:pPr>
        <w:pStyle w:val="SuperHeading"/>
      </w:pPr>
      <w:r w:rsidRPr="00FE1D6C">
        <w:t>FNS42022 Certificate IV in Banking Services</w:t>
      </w:r>
    </w:p>
    <w:p w:rsidR="00000000" w:rsidRPr="00FE1D6C" w:rsidP="00FE1D6C">
      <w:pPr>
        <w:pStyle w:val="Heading1"/>
      </w:pPr>
      <w:bookmarkStart w:id="1" w:name="O_1231837"/>
      <w:bookmarkEnd w:id="1"/>
      <w:r w:rsidRPr="00FE1D6C">
        <w:t>Modification History</w:t>
      </w:r>
    </w:p>
    <w:tbl>
      <w:tblPr>
        <w:tblW w:w="0" w:type="auto"/>
        <w:tblLayout w:type="fixed"/>
        <w:tblCellMar>
          <w:left w:w="62" w:type="dxa"/>
          <w:right w:w="62" w:type="dxa"/>
        </w:tblCellMar>
        <w:tblLook w:val="0000"/>
      </w:tblPr>
      <w:tblGrid>
        <w:gridCol w:w="2616"/>
        <w:gridCol w:w="6456"/>
      </w:tblGrid>
      <w:tr w:rsidTr="00FE1D6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D6C" w:rsidP="00FE1D6C">
            <w:pPr>
              <w:pStyle w:val="BodyText"/>
            </w:pPr>
            <w:r w:rsidRPr="00FE1D6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D6C">
            <w:pPr>
              <w:pStyle w:val="BodyText"/>
              <w:rPr>
                <w:lang w:val="en-NZ"/>
              </w:rPr>
            </w:pPr>
            <w:r w:rsidRPr="00FE1D6C">
              <w:rPr>
                <w:rStyle w:val="SpecialBold"/>
              </w:rPr>
              <w:t>Comments</w:t>
            </w:r>
          </w:p>
        </w:tc>
      </w:tr>
      <w:tr w:rsidTr="00FE1D6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D6C">
            <w:pPr>
              <w:pStyle w:val="BodyText"/>
              <w:rPr>
                <w:lang w:val="en-NZ"/>
              </w:rPr>
            </w:pPr>
            <w:r w:rsidRPr="00FE1D6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D6C" w:rsidP="00FE1D6C">
            <w:pPr>
              <w:pStyle w:val="BodyText"/>
            </w:pPr>
            <w:r w:rsidRPr="00FE1D6C">
              <w:t>This version first released with the FNS Financial Services Training Package Version 8.0.</w:t>
            </w:r>
          </w:p>
          <w:p w:rsidR="00000000" w:rsidRPr="00FE1D6C" w:rsidP="00FE1D6C">
            <w:pPr>
              <w:pStyle w:val="BodyText"/>
            </w:pPr>
            <w:r w:rsidRPr="00FE1D6C">
              <w:t>Supersedes and is equivalent to FNS42020 Certificate IV in Banking Services.</w:t>
            </w:r>
          </w:p>
        </w:tc>
      </w:tr>
    </w:tbl>
    <w:p w:rsidR="00000000" w:rsidRPr="00FE1D6C" w:rsidP="00FE1D6C">
      <w:pPr>
        <w:pStyle w:val="BodyText"/>
      </w:pPr>
    </w:p>
    <w:p w:rsidR="00000000" w:rsidRPr="00FE1D6C" w:rsidP="00FE1D6C">
      <w:pPr>
        <w:pStyle w:val="AllowPageBreak"/>
      </w:pPr>
    </w:p>
    <w:p w:rsidR="00000000" w:rsidRPr="00FE1D6C" w:rsidP="00FE1D6C">
      <w:pPr>
        <w:pStyle w:val="Heading1"/>
      </w:pPr>
      <w:bookmarkStart w:id="2" w:name="O_1231838"/>
      <w:bookmarkEnd w:id="2"/>
      <w:r w:rsidRPr="00FE1D6C">
        <w:t>Qualifica</w:t>
      </w:r>
      <w:r w:rsidRPr="00FE1D6C">
        <w:t>tion Description</w:t>
      </w:r>
    </w:p>
    <w:p w:rsidR="00000000" w:rsidRPr="00FE1D6C" w:rsidP="007517D8">
      <w:pPr>
        <w:pStyle w:val="BodyText"/>
      </w:pPr>
      <w:r w:rsidRPr="00FE1D6C">
        <w:t>This qualification reflects the role of individuals requiring specialist understanding of financial products and services working in banking, customer contact centre or retail financial services environments. Individuals in these roles app</w:t>
      </w:r>
      <w:r w:rsidRPr="00FE1D6C">
        <w:t>ly specialist skills and knowledge to work autonomously and exercise judgement in completing routine and non-routine activities. The qualification allows for specialisation in customer service, lending and mobile banking.</w:t>
      </w:r>
    </w:p>
    <w:p w:rsidR="00000000" w:rsidRPr="00FE1D6C" w:rsidP="00FE1D6C">
      <w:pPr>
        <w:pStyle w:val="Heading3"/>
      </w:pPr>
      <w:r w:rsidRPr="00FE1D6C">
        <w:t>Licensing, legislative, regulatory</w:t>
      </w:r>
      <w:r w:rsidRPr="00FE1D6C">
        <w:t xml:space="preserve"> or certification considerations</w:t>
      </w:r>
    </w:p>
    <w:p w:rsidR="00000000" w:rsidRPr="00FE1D6C" w:rsidP="007517D8">
      <w:pPr>
        <w:pStyle w:val="BodyText"/>
      </w:pPr>
      <w:r w:rsidRPr="00FE1D6C">
        <w:t>Work functions in the occupational areas where this qualification may be used are subject to regulatory requirements. Refer to the relevant regulator for specific guidance on requirements.</w:t>
      </w:r>
    </w:p>
    <w:p w:rsidR="00000000" w:rsidRPr="00FE1D6C" w:rsidP="00FE1D6C">
      <w:pPr>
        <w:pStyle w:val="Heading1"/>
      </w:pPr>
      <w:bookmarkStart w:id="3" w:name="O_1231839"/>
      <w:bookmarkEnd w:id="3"/>
      <w:r w:rsidRPr="00FE1D6C">
        <w:t>Entry Requireme</w:t>
      </w:r>
      <w:r w:rsidRPr="00FE1D6C">
        <w:t>nts</w:t>
      </w:r>
    </w:p>
    <w:p w:rsidR="00000000" w:rsidRPr="00FE1D6C" w:rsidP="007517D8">
      <w:pPr>
        <w:pStyle w:val="BodyText"/>
      </w:pPr>
      <w:r w:rsidRPr="00FE1D6C">
        <w:t>Nil</w:t>
      </w:r>
    </w:p>
    <w:p w:rsidR="00000000" w:rsidRPr="00FE1D6C" w:rsidP="00FE1D6C">
      <w:pPr>
        <w:pStyle w:val="Heading1"/>
      </w:pPr>
      <w:bookmarkStart w:id="4" w:name="O_1231840"/>
      <w:bookmarkEnd w:id="4"/>
      <w:r w:rsidRPr="00FE1D6C">
        <w:t>Packaging Rules</w:t>
      </w:r>
    </w:p>
    <w:p w:rsidR="00000000" w:rsidRPr="00FE1D6C" w:rsidP="00FE1D6C">
      <w:pPr>
        <w:pStyle w:val="BodyTextBold"/>
      </w:pPr>
      <w:r w:rsidRPr="00FE1D6C">
        <w:t>Total number of units = 12</w:t>
      </w:r>
    </w:p>
    <w:p w:rsidR="00000000" w:rsidRPr="00FE1D6C" w:rsidP="007517D8">
      <w:pPr>
        <w:pStyle w:val="List"/>
      </w:pPr>
      <w:r w:rsidRPr="00FE1D6C">
        <w:rPr>
          <w:rStyle w:val="SpecialBold"/>
        </w:rPr>
        <w:t>5 core units</w:t>
      </w:r>
      <w:r w:rsidRPr="00FE1D6C">
        <w:t xml:space="preserve"> plus</w:t>
      </w:r>
    </w:p>
    <w:p w:rsidR="00000000" w:rsidRPr="00FE1D6C" w:rsidP="007517D8">
      <w:pPr>
        <w:pStyle w:val="List"/>
      </w:pPr>
      <w:r w:rsidRPr="00FE1D6C">
        <w:rPr>
          <w:rStyle w:val="SpecialBold"/>
        </w:rPr>
        <w:t>7 elective units</w:t>
      </w:r>
      <w:r w:rsidRPr="00FE1D6C">
        <w:t>, of which:</w:t>
      </w:r>
    </w:p>
    <w:p w:rsidR="00000000" w:rsidRPr="00FE1D6C" w:rsidP="00FE1D6C">
      <w:pPr>
        <w:pStyle w:val="ListBullet"/>
      </w:pPr>
      <w:r w:rsidRPr="00FE1D6C">
        <w:t>at least 3 must be from one of the following elective groups:</w:t>
      </w:r>
    </w:p>
    <w:p w:rsidR="00000000" w:rsidRPr="00FE1D6C" w:rsidP="00FE1D6C">
      <w:pPr>
        <w:pStyle w:val="ListBullet2"/>
      </w:pPr>
      <w:r w:rsidRPr="00FE1D6C">
        <w:t>Group A Customer service</w:t>
      </w:r>
    </w:p>
    <w:p w:rsidR="00000000" w:rsidRPr="00FE1D6C" w:rsidP="00FE1D6C">
      <w:pPr>
        <w:pStyle w:val="ListBullet2"/>
      </w:pPr>
      <w:r w:rsidRPr="00FE1D6C">
        <w:t>Group B Lending</w:t>
      </w:r>
    </w:p>
    <w:p w:rsidR="00000000" w:rsidRPr="00FE1D6C" w:rsidP="00FE1D6C">
      <w:pPr>
        <w:pStyle w:val="ListBullet2"/>
      </w:pPr>
      <w:r w:rsidRPr="00FE1D6C">
        <w:t>Group C Mobile banking</w:t>
      </w:r>
    </w:p>
    <w:p w:rsidR="00000000" w:rsidRPr="00FE1D6C" w:rsidP="00FE1D6C">
      <w:pPr>
        <w:pStyle w:val="ListBullet"/>
      </w:pPr>
      <w:r w:rsidRPr="00FE1D6C">
        <w:t>the remaining units may be from any elective group</w:t>
      </w:r>
    </w:p>
    <w:p w:rsidR="00000000" w:rsidRPr="00FE1D6C" w:rsidP="00FE1D6C">
      <w:pPr>
        <w:pStyle w:val="ListBullet"/>
      </w:pPr>
      <w:r w:rsidRPr="00FE1D6C">
        <w:t>up to 2 may be from this qualification or any currently endorsed Certificate III or above training package qualification or accredited course.</w:t>
      </w:r>
    </w:p>
    <w:p w:rsidR="00000000" w:rsidRPr="00FE1D6C" w:rsidP="00FE1D6C">
      <w:pPr>
        <w:pStyle w:val="BodyText"/>
      </w:pPr>
    </w:p>
    <w:p w:rsidR="00000000" w:rsidRPr="00FE1D6C" w:rsidP="007517D8">
      <w:pPr>
        <w:pStyle w:val="BodyText"/>
      </w:pPr>
      <w:r w:rsidRPr="00FE1D6C">
        <w:t>Elective units must be relevant to the work environment and t</w:t>
      </w:r>
      <w:r w:rsidRPr="00FE1D6C">
        <w:t>he qualification, maintain the overall integrity of the AQF alignment, not duplicate the outcome of another unit chosen for the qualification, and contribute to a valid industry-supported vocational outcome.</w:t>
      </w:r>
    </w:p>
    <w:p w:rsidR="00000000" w:rsidRPr="00FE1D6C" w:rsidP="007517D8">
      <w:pPr>
        <w:pStyle w:val="BodyText"/>
      </w:pPr>
      <w:r w:rsidRPr="00FE1D6C">
        <w:t>Where relevant, the choice of elective units set</w:t>
      </w:r>
      <w:r w:rsidRPr="00FE1D6C">
        <w:t xml:space="preserve"> out in the packaging rules below can serve to provide the qualification with a specialisation. The achievement of a specialisation will be identified on testamurs as follows:</w:t>
      </w:r>
    </w:p>
    <w:p w:rsidR="00000000" w:rsidRPr="00FE1D6C" w:rsidP="00FE1D6C">
      <w:pPr>
        <w:pStyle w:val="ListBullet"/>
      </w:pPr>
      <w:r w:rsidRPr="00FE1D6C">
        <w:t>FNS42022 Certificate IV in Banking Services (Customer Services)</w:t>
      </w:r>
    </w:p>
    <w:p w:rsidR="00000000" w:rsidRPr="00FE1D6C" w:rsidP="00FE1D6C">
      <w:pPr>
        <w:pStyle w:val="ListBullet"/>
      </w:pPr>
      <w:r w:rsidRPr="00FE1D6C">
        <w:t>FNS42022 Certif</w:t>
      </w:r>
      <w:r w:rsidRPr="00FE1D6C">
        <w:t>icate IV in Banking Services (Lending)</w:t>
      </w:r>
    </w:p>
    <w:p w:rsidR="00000000" w:rsidRPr="00FE1D6C" w:rsidP="00FE1D6C">
      <w:pPr>
        <w:pStyle w:val="ListBullet"/>
      </w:pPr>
      <w:r w:rsidRPr="00FE1D6C">
        <w:t>FNS42022 Certificate IV in Banking Services (Mobile Banking)</w:t>
      </w:r>
    </w:p>
    <w:p w:rsidR="00000000" w:rsidRPr="00FE1D6C" w:rsidP="00FE1D6C">
      <w:pPr>
        <w:pStyle w:val="BodyText"/>
      </w:pPr>
    </w:p>
    <w:p w:rsidR="00000000" w:rsidRPr="00FE1D6C" w:rsidP="00FE1D6C">
      <w:pPr>
        <w:pStyle w:val="Heading3"/>
      </w:pPr>
      <w:r w:rsidRPr="00FE1D6C">
        <w:t>Packaging rules to achieve a specialisation</w:t>
      </w:r>
    </w:p>
    <w:p w:rsidR="00000000" w:rsidRPr="00FE1D6C" w:rsidP="007517D8">
      <w:pPr>
        <w:pStyle w:val="Heading5"/>
      </w:pPr>
      <w:r w:rsidRPr="00FE1D6C">
        <w:t>Specialisation 1 in Customer Service</w:t>
      </w:r>
    </w:p>
    <w:p w:rsidR="00000000" w:rsidRPr="00FE1D6C" w:rsidP="00FE1D6C">
      <w:pPr>
        <w:pStyle w:val="ListBullet"/>
      </w:pPr>
      <w:r w:rsidRPr="00FE1D6C">
        <w:t>Select all 7 units from Group A Customer service</w:t>
      </w:r>
    </w:p>
    <w:p w:rsidR="00000000" w:rsidRPr="00FE1D6C" w:rsidP="00FE1D6C">
      <w:pPr>
        <w:pStyle w:val="Heading3"/>
      </w:pPr>
      <w:r w:rsidRPr="00FE1D6C">
        <w:t>Specialisation 2 in Lending</w:t>
      </w:r>
    </w:p>
    <w:p w:rsidR="00000000" w:rsidRPr="00FE1D6C" w:rsidP="00FE1D6C">
      <w:pPr>
        <w:pStyle w:val="ListBullet"/>
      </w:pPr>
      <w:r w:rsidRPr="00FE1D6C">
        <w:t>Select all 6 units from Group B Lending</w:t>
      </w:r>
    </w:p>
    <w:p w:rsidR="00000000" w:rsidRPr="00FE1D6C" w:rsidP="00FE1D6C">
      <w:pPr>
        <w:pStyle w:val="Heading3"/>
      </w:pPr>
      <w:r w:rsidRPr="00FE1D6C">
        <w:t>Specialisation 3 in Mobile Banking</w:t>
      </w:r>
    </w:p>
    <w:p w:rsidR="00000000" w:rsidRPr="00FE1D6C" w:rsidP="00FE1D6C">
      <w:pPr>
        <w:pStyle w:val="ListBullet"/>
      </w:pPr>
      <w:r w:rsidRPr="00FE1D6C">
        <w:t>Select all 5 units from Group C Mobile banking</w:t>
      </w:r>
    </w:p>
    <w:p w:rsidR="00000000" w:rsidRPr="00FE1D6C" w:rsidP="00FE1D6C">
      <w:pPr>
        <w:pStyle w:val="Heading3"/>
      </w:pPr>
      <w:r w:rsidRPr="00FE1D6C">
        <w:t>Core units</w:t>
      </w:r>
    </w:p>
    <w:p w:rsidR="00000000" w:rsidRPr="00FE1D6C" w:rsidP="00FE1D6C">
      <w:pPr>
        <w:pStyle w:val="List"/>
      </w:pPr>
      <w:r w:rsidRPr="00FE1D6C">
        <w:t>FNSCUS403 Deliver a professional service to customers</w:t>
      </w:r>
    </w:p>
    <w:p w:rsidR="00000000" w:rsidRPr="00FE1D6C" w:rsidP="00FE1D6C">
      <w:pPr>
        <w:pStyle w:val="List"/>
      </w:pPr>
      <w:r w:rsidRPr="00FE1D6C">
        <w:t>FNSINC411 Conduct work according to pro</w:t>
      </w:r>
      <w:r w:rsidRPr="00FE1D6C">
        <w:t>fessional practices in the financial services industry</w:t>
      </w:r>
    </w:p>
    <w:p w:rsidR="00000000" w:rsidRPr="00FE1D6C" w:rsidP="00FE1D6C">
      <w:pPr>
        <w:pStyle w:val="List"/>
      </w:pPr>
      <w:r w:rsidRPr="00FE1D6C">
        <w:t>FNSINC412 Apply and maintain knowledge of financial products and services</w:t>
      </w:r>
    </w:p>
    <w:p w:rsidR="00000000" w:rsidRPr="00FE1D6C" w:rsidP="00FE1D6C">
      <w:pPr>
        <w:pStyle w:val="List"/>
      </w:pPr>
      <w:r w:rsidRPr="00FE1D6C">
        <w:t>FNSINC513 Identify and apply complex ethical decision making to workplace situations</w:t>
      </w:r>
    </w:p>
    <w:p w:rsidR="00000000" w:rsidRPr="00FE1D6C" w:rsidP="00FE1D6C">
      <w:pPr>
        <w:pStyle w:val="List"/>
      </w:pPr>
      <w:r w:rsidRPr="00FE1D6C">
        <w:t>FNSRSK411 Apply risk management strategies</w:t>
      </w:r>
      <w:r w:rsidRPr="00FE1D6C">
        <w:t xml:space="preserve"> to own work</w:t>
      </w:r>
    </w:p>
    <w:p w:rsidR="00000000" w:rsidRPr="00FE1D6C" w:rsidP="00FE1D6C">
      <w:pPr>
        <w:pStyle w:val="Heading3"/>
      </w:pPr>
      <w:r w:rsidRPr="00FE1D6C">
        <w:t>Elective units</w:t>
      </w:r>
    </w:p>
    <w:p w:rsidR="00000000" w:rsidRPr="00FE1D6C" w:rsidP="00FE1D6C">
      <w:pPr>
        <w:pStyle w:val="Heading3"/>
      </w:pPr>
      <w:r w:rsidRPr="00FE1D6C">
        <w:t>Group A – Customer service</w:t>
      </w:r>
    </w:p>
    <w:p w:rsidR="00000000" w:rsidRPr="00FE1D6C" w:rsidP="00FE1D6C">
      <w:pPr>
        <w:pStyle w:val="List"/>
      </w:pPr>
      <w:r w:rsidRPr="00FE1D6C">
        <w:t>BSBOPS404 Implement customer service strategies</w:t>
      </w:r>
    </w:p>
    <w:p w:rsidR="00000000" w:rsidRPr="00FE1D6C" w:rsidP="00FE1D6C">
      <w:pPr>
        <w:pStyle w:val="List"/>
      </w:pPr>
      <w:r w:rsidRPr="00FE1D6C">
        <w:t>FNSASIC311 Establish client relationship and analyse needs</w:t>
      </w:r>
    </w:p>
    <w:p w:rsidR="00000000" w:rsidRPr="00FE1D6C" w:rsidP="00FE1D6C">
      <w:pPr>
        <w:pStyle w:val="List"/>
      </w:pPr>
      <w:r w:rsidRPr="00FE1D6C">
        <w:t>FNSASIC312 Provide personal advice on non-relevant financial products</w:t>
      </w:r>
    </w:p>
    <w:p w:rsidR="00000000" w:rsidRPr="00FE1D6C" w:rsidP="00FE1D6C">
      <w:pPr>
        <w:pStyle w:val="List"/>
      </w:pPr>
      <w:r w:rsidRPr="00FE1D6C">
        <w:t>FNSCUS412 Resolve disputes</w:t>
      </w:r>
    </w:p>
    <w:p w:rsidR="00000000" w:rsidRPr="00FE1D6C" w:rsidP="00FE1D6C">
      <w:pPr>
        <w:pStyle w:val="List"/>
      </w:pPr>
      <w:r w:rsidRPr="00FE1D6C">
        <w:t>FNSSAM413 Identify and provide initial information to potential new clients</w:t>
      </w:r>
    </w:p>
    <w:p w:rsidR="00000000" w:rsidRPr="00FE1D6C" w:rsidP="00FE1D6C">
      <w:pPr>
        <w:pStyle w:val="List"/>
      </w:pPr>
      <w:r w:rsidRPr="00FE1D6C">
        <w:t>FNSSAM421 Provide information on financial products and services to clients</w:t>
      </w:r>
    </w:p>
    <w:p w:rsidR="00000000" w:rsidRPr="00FE1D6C" w:rsidP="00FE1D6C">
      <w:pPr>
        <w:pStyle w:val="List"/>
      </w:pPr>
      <w:r w:rsidRPr="00FE1D6C">
        <w:t>FNSSAM422 Implement promotional strategies for financial products and service</w:t>
      </w:r>
      <w:r w:rsidRPr="00FE1D6C">
        <w:t>s</w:t>
      </w:r>
    </w:p>
    <w:p w:rsidR="00000000" w:rsidRPr="00FE1D6C" w:rsidP="00FE1D6C">
      <w:pPr>
        <w:pStyle w:val="Heading3"/>
      </w:pPr>
      <w:r w:rsidRPr="00FE1D6C">
        <w:t>Group B – Lending</w:t>
      </w:r>
    </w:p>
    <w:p w:rsidR="00000000" w:rsidRPr="00FE1D6C" w:rsidP="00FE1D6C">
      <w:pPr>
        <w:pStyle w:val="List"/>
      </w:pPr>
      <w:r w:rsidRPr="00FE1D6C">
        <w:t>FNSCRD401 Assess credit applications</w:t>
      </w:r>
    </w:p>
    <w:p w:rsidR="00000000" w:rsidRPr="00FE1D6C" w:rsidP="00FE1D6C">
      <w:pPr>
        <w:pStyle w:val="List"/>
      </w:pPr>
      <w:r w:rsidRPr="00FE1D6C">
        <w:t>FNSCRD412 Establish and maintain appropriate security options for credit facilities</w:t>
      </w:r>
    </w:p>
    <w:p w:rsidR="00000000" w:rsidRPr="00FE1D6C" w:rsidP="00FE1D6C">
      <w:pPr>
        <w:pStyle w:val="List"/>
      </w:pPr>
      <w:r w:rsidRPr="00FE1D6C">
        <w:t>FNSCRD513 Promote client understanding of the role and effective use of consumer credit</w:t>
      </w:r>
    </w:p>
    <w:p w:rsidR="00000000" w:rsidRPr="00FE1D6C" w:rsidP="00FE1D6C">
      <w:pPr>
        <w:pStyle w:val="List"/>
      </w:pPr>
      <w:r w:rsidRPr="00FE1D6C">
        <w:t xml:space="preserve">FNSFMB511 Implement credit </w:t>
      </w:r>
      <w:r w:rsidRPr="00FE1D6C">
        <w:t>contracts in preparation for settlement</w:t>
      </w:r>
    </w:p>
    <w:p w:rsidR="00000000" w:rsidRPr="00FE1D6C" w:rsidP="00FE1D6C">
      <w:pPr>
        <w:pStyle w:val="List"/>
      </w:pPr>
      <w:r w:rsidRPr="00FE1D6C">
        <w:t>FNSMCA412 Undertake legal action for recovery of debts</w:t>
      </w:r>
    </w:p>
    <w:p w:rsidR="00000000" w:rsidRPr="00FE1D6C" w:rsidP="00FE1D6C">
      <w:pPr>
        <w:pStyle w:val="List"/>
      </w:pPr>
      <w:r w:rsidRPr="00FE1D6C">
        <w:t>FNSMCA413 Identify and manage individuals experiencing hardship</w:t>
      </w:r>
    </w:p>
    <w:p w:rsidR="00000000" w:rsidRPr="00FE1D6C" w:rsidP="00FE1D6C">
      <w:pPr>
        <w:pStyle w:val="Heading3"/>
      </w:pPr>
      <w:r w:rsidRPr="00FE1D6C">
        <w:t>Group C – Mobile banking</w:t>
      </w:r>
    </w:p>
    <w:p w:rsidR="00000000" w:rsidRPr="00FE1D6C" w:rsidP="00FE1D6C">
      <w:pPr>
        <w:pStyle w:val="List"/>
      </w:pPr>
      <w:r w:rsidRPr="00FE1D6C">
        <w:t>FNSBNK411 Coordinate small business customer portfolios</w:t>
      </w:r>
    </w:p>
    <w:p w:rsidR="00000000" w:rsidRPr="00FE1D6C" w:rsidP="00FE1D6C">
      <w:pPr>
        <w:pStyle w:val="List"/>
      </w:pPr>
      <w:r w:rsidRPr="00FE1D6C">
        <w:t xml:space="preserve">FNSBNK412 Align </w:t>
      </w:r>
      <w:r w:rsidRPr="00FE1D6C">
        <w:t>banking products with the needs of small business customers</w:t>
      </w:r>
    </w:p>
    <w:p w:rsidR="00000000" w:rsidRPr="00FE1D6C" w:rsidP="00FE1D6C">
      <w:pPr>
        <w:pStyle w:val="List"/>
      </w:pPr>
      <w:r w:rsidRPr="00FE1D6C">
        <w:t>FNSBNK414 Promote mobile banking services</w:t>
      </w:r>
    </w:p>
    <w:p w:rsidR="00000000" w:rsidRPr="00FE1D6C" w:rsidP="00FE1D6C">
      <w:pPr>
        <w:pStyle w:val="List"/>
      </w:pPr>
      <w:r w:rsidRPr="00FE1D6C">
        <w:t>FNSBNK415 Provide mobile banking sales and services</w:t>
      </w:r>
    </w:p>
    <w:p w:rsidR="00000000" w:rsidRPr="00FE1D6C" w:rsidP="00FE1D6C">
      <w:pPr>
        <w:pStyle w:val="List"/>
      </w:pPr>
      <w:r w:rsidRPr="00FE1D6C">
        <w:t>FNSBNK416 Manage mobile lending services</w:t>
      </w:r>
    </w:p>
    <w:p w:rsidR="00000000" w:rsidRPr="00FE1D6C" w:rsidP="00FE1D6C">
      <w:pPr>
        <w:pStyle w:val="List"/>
      </w:pPr>
      <w:r w:rsidRPr="00FE1D6C">
        <w:t>Group D – General</w:t>
      </w:r>
    </w:p>
    <w:p w:rsidR="00000000" w:rsidRPr="00FE1D6C" w:rsidP="00FE1D6C">
      <w:pPr>
        <w:pStyle w:val="List"/>
      </w:pPr>
      <w:r w:rsidRPr="00FE1D6C">
        <w:t>BSBLDR411 Demonstrate leadership in the wor</w:t>
      </w:r>
      <w:r w:rsidRPr="00FE1D6C">
        <w:t>kplace</w:t>
      </w:r>
    </w:p>
    <w:p w:rsidR="00000000" w:rsidRPr="00FE1D6C" w:rsidP="00FE1D6C">
      <w:pPr>
        <w:pStyle w:val="List"/>
      </w:pPr>
      <w:r w:rsidRPr="00FE1D6C">
        <w:t>BSBLDR414 Lead team effectiveness</w:t>
      </w:r>
    </w:p>
    <w:p w:rsidR="00000000" w:rsidRPr="00FE1D6C" w:rsidP="00FE1D6C">
      <w:pPr>
        <w:pStyle w:val="List"/>
      </w:pPr>
      <w:r w:rsidRPr="00FE1D6C">
        <w:t>BSBOPS304 Deliver and monitor a service to customers</w:t>
      </w:r>
    </w:p>
    <w:p w:rsidR="00000000" w:rsidRPr="00FE1D6C" w:rsidP="00FE1D6C">
      <w:pPr>
        <w:pStyle w:val="List"/>
      </w:pPr>
      <w:r w:rsidRPr="00FE1D6C">
        <w:t>BSBPEF501 Manage personal and professional development</w:t>
      </w:r>
    </w:p>
    <w:p w:rsidR="00000000" w:rsidRPr="00FE1D6C" w:rsidP="00FE1D6C">
      <w:pPr>
        <w:pStyle w:val="List"/>
      </w:pPr>
      <w:r w:rsidRPr="00FE1D6C">
        <w:t>BSBTEC201 Use business software applications</w:t>
      </w:r>
    </w:p>
    <w:p w:rsidR="00000000" w:rsidRPr="00FE1D6C" w:rsidP="00FE1D6C">
      <w:pPr>
        <w:pStyle w:val="List"/>
      </w:pPr>
      <w:r w:rsidRPr="00FE1D6C">
        <w:t>BSBTEC403 Apply digital solutions to work processes</w:t>
      </w:r>
    </w:p>
    <w:p w:rsidR="00000000" w:rsidRPr="00FE1D6C" w:rsidP="00FE1D6C">
      <w:pPr>
        <w:pStyle w:val="List"/>
      </w:pPr>
      <w:r w:rsidRPr="00FE1D6C">
        <w:t xml:space="preserve">FNSBNK413 </w:t>
      </w:r>
      <w:r w:rsidRPr="00FE1D6C">
        <w:t>Provide services in a Business Transaction Centre</w:t>
      </w:r>
    </w:p>
    <w:p w:rsidR="00000000" w:rsidRPr="00FE1D6C" w:rsidP="00FE1D6C">
      <w:pPr>
        <w:pStyle w:val="List"/>
      </w:pPr>
      <w:r w:rsidRPr="00FE1D6C">
        <w:t>FNSFLT511 Assist customers to budget and manage own finances</w:t>
      </w:r>
    </w:p>
    <w:p w:rsidR="00000000" w:rsidRPr="00FE1D6C" w:rsidP="00FE1D6C">
      <w:pPr>
        <w:pStyle w:val="List"/>
      </w:pPr>
      <w:r w:rsidRPr="00FE1D6C">
        <w:t>FNSFMB412 Identify client needs and present broking options</w:t>
      </w:r>
    </w:p>
    <w:p w:rsidR="00000000" w:rsidRPr="00FE1D6C" w:rsidP="00FE1D6C">
      <w:pPr>
        <w:pStyle w:val="List"/>
      </w:pPr>
      <w:r w:rsidRPr="00FE1D6C">
        <w:t>FNSINC512 Assess vulnerability of financial products and services to money laundering and terrorism financing</w:t>
      </w:r>
    </w:p>
    <w:p w:rsidR="00000000" w:rsidRPr="00FE1D6C" w:rsidP="00FE1D6C">
      <w:pPr>
        <w:pStyle w:val="List"/>
      </w:pPr>
      <w:r w:rsidRPr="00FE1D6C">
        <w:t>FNSINC514 Apply ethical frameworks and principles to make and act upon decisions</w:t>
      </w:r>
    </w:p>
    <w:p w:rsidR="00000000" w:rsidRPr="00FE1D6C" w:rsidP="00FE1D6C">
      <w:pPr>
        <w:pStyle w:val="List"/>
      </w:pPr>
      <w:r w:rsidRPr="00FE1D6C">
        <w:t>FNSORG411 Conduct individual work within a compliance framework</w:t>
      </w:r>
    </w:p>
    <w:p w:rsidR="00000000" w:rsidRPr="00FE1D6C" w:rsidP="00FE1D6C">
      <w:pPr>
        <w:pStyle w:val="List"/>
      </w:pPr>
      <w:r w:rsidRPr="00FE1D6C">
        <w:t>F</w:t>
      </w:r>
      <w:r w:rsidRPr="00FE1D6C">
        <w:t>NSPIM410 Collect, assess and use information</w:t>
      </w:r>
    </w:p>
    <w:p w:rsidR="00000000" w:rsidRPr="00FE1D6C" w:rsidP="00FE1D6C">
      <w:pPr>
        <w:pStyle w:val="Heading1"/>
      </w:pPr>
      <w:bookmarkStart w:id="5" w:name="O_1231841"/>
      <w:bookmarkEnd w:id="5"/>
      <w:r w:rsidRPr="00FE1D6C">
        <w:t>Qualification Mapping Information</w:t>
      </w:r>
    </w:p>
    <w:p w:rsidR="00000000" w:rsidRPr="00FE1D6C" w:rsidP="007517D8">
      <w:pPr>
        <w:pStyle w:val="BodyText"/>
      </w:pPr>
      <w:r w:rsidRPr="00FE1D6C">
        <w:t>Supersedes and is equivalent to FNS42020 Certificate IV in Banking Services.</w:t>
      </w:r>
    </w:p>
    <w:p w:rsidR="00000000" w:rsidRPr="00FE1D6C" w:rsidP="00FE1D6C">
      <w:pPr>
        <w:pStyle w:val="Heading1"/>
      </w:pPr>
      <w:bookmarkStart w:id="6" w:name="O_1231843"/>
      <w:bookmarkEnd w:id="6"/>
      <w:r w:rsidRPr="00FE1D6C">
        <w:t>Links</w:t>
      </w:r>
    </w:p>
    <w:p w:rsidR="00000000" w:rsidRPr="00FE1D6C" w:rsidP="007517D8">
      <w:pPr>
        <w:pStyle w:val="BodyText"/>
      </w:pPr>
      <w:r w:rsidRPr="00FE1D6C">
        <w:t>Companion Volume Implementation Guide is found on VETNet</w:t>
      </w:r>
      <w:r w:rsidRPr="00FE1D6C">
        <w:t xml:space="preserve"> - </w:t>
      </w:r>
      <w:r>
        <w:fldChar w:fldCharType="begin"/>
      </w:r>
      <w:r>
        <w:instrText xml:space="preserve"> HYPERLINK "https://vetnet.gov.au/Pages/TrainingDocs.aspx?q=c7200cc8-0566-4f04-b76f-e89fd6f102fe" </w:instrText>
      </w:r>
      <w:r>
        <w:fldChar w:fldCharType="separate"/>
      </w:r>
      <w:r w:rsidRPr="000A1351">
        <w:rPr>
          <w:rStyle w:val="Hyperlink"/>
        </w:rPr>
        <w:t>https://vetnet.gov.au/Pages/TrainingDocs.aspx?q=c7200cc8-0566-4f04-b76f-e89fd6f102fe</w:t>
      </w:r>
      <w:r>
        <w:fldChar w:fldCharType="end"/>
      </w:r>
    </w:p>
    <w:p w:rsidR="00000000" w:rsidRPr="00FE1D6C" w:rsidP="00FE1D6C"/>
    <w:sectPr w:rsidSect="00FE1D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D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D6C" w:rsidRPr="007517D8" w:rsidP="007517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D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D8" w:rsidP="00FE1D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17D8" w:rsidP="00FE1D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517D8" w:rsidP="00FE1D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D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D6C" w:rsidRPr="007517D8" w:rsidP="007517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D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D8" w:rsidRPr="002D2AF8" w:rsidP="00FE1D6C">
    <w:pPr>
      <w:pStyle w:val="Header"/>
      <w:framePr w:wrap="around"/>
    </w:pPr>
    <w:r>
      <w:fldChar w:fldCharType="begin"/>
    </w:r>
    <w:r>
      <w:instrText xml:space="preserve"> TITLE   \* MERGEFORMAT </w:instrText>
    </w:r>
    <w:r>
      <w:fldChar w:fldCharType="separate"/>
    </w:r>
    <w:r>
      <w:t>FNS42022 Certificate IV in Banking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7517D8" w:rsidP="00FE1D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C6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E1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4EB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D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D6C"/>
    <w:pPr>
      <w:spacing w:before="360" w:after="60"/>
      <w:outlineLvl w:val="0"/>
    </w:pPr>
    <w:rPr>
      <w:sz w:val="32"/>
    </w:rPr>
  </w:style>
  <w:style w:type="paragraph" w:styleId="Heading2">
    <w:name w:val="heading 2"/>
    <w:basedOn w:val="HeadingBase"/>
    <w:next w:val="BodyText"/>
    <w:link w:val="Heading2Char"/>
    <w:qFormat/>
    <w:rsid w:val="00FE1D6C"/>
    <w:pPr>
      <w:keepLines/>
      <w:spacing w:before="240" w:after="120"/>
      <w:outlineLvl w:val="1"/>
    </w:pPr>
    <w:rPr>
      <w:sz w:val="28"/>
      <w:szCs w:val="40"/>
    </w:rPr>
  </w:style>
  <w:style w:type="paragraph" w:styleId="Heading3">
    <w:name w:val="heading 3"/>
    <w:basedOn w:val="HeadingBase"/>
    <w:next w:val="BodyText"/>
    <w:link w:val="Heading3Char"/>
    <w:qFormat/>
    <w:rsid w:val="00FE1D6C"/>
    <w:pPr>
      <w:spacing w:before="180" w:after="120"/>
      <w:outlineLvl w:val="2"/>
    </w:pPr>
    <w:rPr>
      <w:spacing w:val="-10"/>
      <w:kern w:val="32"/>
    </w:rPr>
  </w:style>
  <w:style w:type="paragraph" w:styleId="Heading4">
    <w:name w:val="heading 4"/>
    <w:basedOn w:val="HeadingBase"/>
    <w:next w:val="BodyText"/>
    <w:link w:val="Heading4Char"/>
    <w:qFormat/>
    <w:rsid w:val="00FE1D6C"/>
    <w:pPr>
      <w:spacing w:before="160" w:after="120"/>
      <w:outlineLvl w:val="3"/>
    </w:pPr>
    <w:rPr>
      <w:sz w:val="22"/>
    </w:rPr>
  </w:style>
  <w:style w:type="paragraph" w:styleId="Heading5">
    <w:name w:val="heading 5"/>
    <w:basedOn w:val="HeadingBase"/>
    <w:next w:val="Normal"/>
    <w:link w:val="Heading5Char"/>
    <w:qFormat/>
    <w:rsid w:val="00FE1D6C"/>
    <w:pPr>
      <w:spacing w:before="80"/>
      <w:outlineLvl w:val="4"/>
    </w:pPr>
    <w:rPr>
      <w:color w:val="918585"/>
      <w:sz w:val="20"/>
    </w:rPr>
  </w:style>
  <w:style w:type="paragraph" w:styleId="Heading6">
    <w:name w:val="heading 6"/>
    <w:basedOn w:val="HeadingBase"/>
    <w:next w:val="Normal"/>
    <w:link w:val="Heading6Char"/>
    <w:qFormat/>
    <w:rsid w:val="00FE1D6C"/>
    <w:pPr>
      <w:spacing w:before="60"/>
      <w:outlineLvl w:val="5"/>
    </w:pPr>
    <w:rPr>
      <w:color w:val="918585"/>
      <w:sz w:val="20"/>
    </w:rPr>
  </w:style>
  <w:style w:type="paragraph" w:styleId="Heading7">
    <w:name w:val="heading 7"/>
    <w:basedOn w:val="Normal"/>
    <w:next w:val="Normal"/>
    <w:link w:val="Heading7Char"/>
    <w:qFormat/>
    <w:rsid w:val="00FE1D6C"/>
    <w:pPr>
      <w:ind w:left="720"/>
      <w:outlineLvl w:val="6"/>
    </w:pPr>
    <w:rPr>
      <w:i/>
    </w:rPr>
  </w:style>
  <w:style w:type="paragraph" w:styleId="Heading8">
    <w:name w:val="heading 8"/>
    <w:basedOn w:val="Normal"/>
    <w:next w:val="Normal"/>
    <w:link w:val="Heading8Char"/>
    <w:qFormat/>
    <w:rsid w:val="00FE1D6C"/>
    <w:pPr>
      <w:ind w:left="720"/>
      <w:outlineLvl w:val="7"/>
    </w:pPr>
    <w:rPr>
      <w:i/>
    </w:rPr>
  </w:style>
  <w:style w:type="paragraph" w:styleId="Heading9">
    <w:name w:val="heading 9"/>
    <w:basedOn w:val="Normal"/>
    <w:next w:val="Normal"/>
    <w:link w:val="Heading9Char"/>
    <w:qFormat/>
    <w:rsid w:val="00FE1D6C"/>
    <w:pPr>
      <w:ind w:left="720"/>
      <w:outlineLvl w:val="8"/>
    </w:pPr>
    <w:rPr>
      <w:i/>
    </w:rPr>
  </w:style>
  <w:style w:type="character" w:default="1" w:styleId="DefaultParagraphFont">
    <w:name w:val="Default Paragraph Font"/>
    <w:uiPriority w:val="1"/>
    <w:unhideWhenUsed/>
    <w:rsid w:val="00FE1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D6C"/>
  </w:style>
  <w:style w:type="character" w:customStyle="1" w:styleId="Heading1Char">
    <w:name w:val="Heading 1 Char"/>
    <w:basedOn w:val="DefaultParagraphFont"/>
    <w:link w:val="Heading1"/>
    <w:rsid w:val="00FE1D6C"/>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FE1D6C"/>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FE1D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D6C"/>
    <w:rPr>
      <w:rFonts w:ascii="Times New Roman" w:eastAsia="Times New Roman" w:hAnsi="Times New Roman" w:cs="Times New Roman"/>
      <w:sz w:val="24"/>
      <w:lang w:eastAsia="en-US"/>
    </w:rPr>
  </w:style>
  <w:style w:type="paragraph" w:styleId="List">
    <w:name w:val="List"/>
    <w:basedOn w:val="BodyText"/>
    <w:next w:val="BodyText"/>
    <w:rsid w:val="00FE1D6C"/>
    <w:pPr>
      <w:tabs>
        <w:tab w:val="left" w:pos="340"/>
      </w:tabs>
      <w:spacing w:before="60" w:after="60"/>
      <w:ind w:left="340" w:hanging="340"/>
    </w:pPr>
  </w:style>
  <w:style w:type="paragraph" w:styleId="ListBullet">
    <w:name w:val="List Bullet"/>
    <w:basedOn w:val="List"/>
    <w:rsid w:val="00FE1D6C"/>
    <w:pPr>
      <w:numPr>
        <w:numId w:val="12"/>
      </w:numPr>
      <w:tabs>
        <w:tab w:val="clear" w:pos="340"/>
      </w:tabs>
      <w:spacing w:before="40" w:after="40"/>
    </w:pPr>
  </w:style>
  <w:style w:type="character" w:customStyle="1" w:styleId="SpecialBold">
    <w:name w:val="Special Bold"/>
    <w:basedOn w:val="DefaultParagraphFont"/>
    <w:rsid w:val="00FE1D6C"/>
    <w:rPr>
      <w:b/>
      <w:spacing w:val="0"/>
    </w:rPr>
  </w:style>
  <w:style w:type="paragraph" w:styleId="ListBullet2">
    <w:name w:val="List Bullet 2"/>
    <w:basedOn w:val="List2"/>
    <w:rsid w:val="00FE1D6C"/>
    <w:pPr>
      <w:numPr>
        <w:numId w:val="13"/>
      </w:numPr>
      <w:tabs>
        <w:tab w:val="clear" w:pos="680"/>
      </w:tabs>
    </w:pPr>
  </w:style>
  <w:style w:type="paragraph" w:customStyle="1" w:styleId="SuperHeading">
    <w:name w:val="SuperHeading"/>
    <w:basedOn w:val="Normal"/>
    <w:rsid w:val="00FE1D6C"/>
    <w:pPr>
      <w:spacing w:before="240" w:after="120"/>
      <w:outlineLvl w:val="0"/>
    </w:pPr>
    <w:rPr>
      <w:rFonts w:ascii="Times New Roman" w:hAnsi="Times New Roman"/>
      <w:b/>
      <w:sz w:val="32"/>
    </w:rPr>
  </w:style>
  <w:style w:type="paragraph" w:customStyle="1" w:styleId="AllowPageBreak">
    <w:name w:val="AllowPageBreak"/>
    <w:rsid w:val="00FE1D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E1D6C"/>
    <w:rPr>
      <w:b/>
    </w:rPr>
  </w:style>
  <w:style w:type="character" w:customStyle="1" w:styleId="Heading2Char">
    <w:name w:val="Heading 2 Char"/>
    <w:basedOn w:val="DefaultParagraphFont"/>
    <w:link w:val="Heading2"/>
    <w:rsid w:val="00FE1D6C"/>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E1D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D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D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D6C"/>
    <w:rPr>
      <w:rFonts w:ascii="Courier New" w:eastAsia="Times New Roman" w:hAnsi="Courier New" w:cs="Times New Roman"/>
      <w:i/>
      <w:szCs w:val="20"/>
      <w:lang w:eastAsia="en-US"/>
    </w:rPr>
  </w:style>
  <w:style w:type="paragraph" w:customStyle="1" w:styleId="HeadingBase">
    <w:name w:val="Heading Base"/>
    <w:rsid w:val="00FE1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D6C"/>
    <w:pPr>
      <w:tabs>
        <w:tab w:val="right" w:leader="dot" w:pos="9072"/>
      </w:tabs>
      <w:ind w:left="567"/>
    </w:pPr>
    <w:rPr>
      <w:szCs w:val="22"/>
    </w:rPr>
  </w:style>
  <w:style w:type="paragraph" w:customStyle="1" w:styleId="TOCBase">
    <w:name w:val="TOC Base"/>
    <w:rsid w:val="00FE1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D6C"/>
    <w:pPr>
      <w:tabs>
        <w:tab w:val="right" w:leader="dot" w:pos="9072"/>
      </w:tabs>
      <w:spacing w:before="40" w:after="40"/>
      <w:ind w:left="284"/>
    </w:pPr>
    <w:rPr>
      <w:rFonts w:ascii="Times New Roman" w:hAnsi="Times New Roman"/>
    </w:rPr>
  </w:style>
  <w:style w:type="paragraph" w:styleId="TOC1">
    <w:name w:val="toc 1"/>
    <w:basedOn w:val="TOCBase"/>
    <w:next w:val="Normal"/>
    <w:rsid w:val="00FE1D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D6C"/>
    <w:rPr>
      <w:rFonts w:ascii="Times New Roman" w:eastAsia="Times New Roman" w:hAnsi="Times New Roman" w:cs="Times New Roman"/>
      <w:sz w:val="16"/>
      <w:lang w:eastAsia="en-US"/>
    </w:rPr>
  </w:style>
  <w:style w:type="paragraph" w:styleId="Title">
    <w:name w:val="Title"/>
    <w:basedOn w:val="HeadingBase"/>
    <w:link w:val="TitleChar"/>
    <w:qFormat/>
    <w:rsid w:val="00FE1D6C"/>
    <w:pPr>
      <w:spacing w:before="5040"/>
      <w:jc w:val="center"/>
    </w:pPr>
    <w:rPr>
      <w:sz w:val="48"/>
      <w:szCs w:val="72"/>
      <w:lang w:val="en-US"/>
    </w:rPr>
  </w:style>
  <w:style w:type="character" w:customStyle="1" w:styleId="TitleChar">
    <w:name w:val="Title Char"/>
    <w:basedOn w:val="DefaultParagraphFont"/>
    <w:link w:val="Title"/>
    <w:rsid w:val="00FE1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D6C"/>
    <w:pPr>
      <w:tabs>
        <w:tab w:val="left" w:pos="3600"/>
        <w:tab w:val="left" w:pos="3958"/>
      </w:tabs>
    </w:pPr>
  </w:style>
  <w:style w:type="paragraph" w:customStyle="1" w:styleId="Note">
    <w:name w:val="Note"/>
    <w:basedOn w:val="BodyText"/>
    <w:rsid w:val="00FE1D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D6C"/>
    <w:pPr>
      <w:framePr w:wrap="auto" w:hAnchor="text" w:y="6049"/>
    </w:pPr>
    <w:rPr>
      <w:color w:val="000000"/>
      <w:sz w:val="40"/>
    </w:rPr>
  </w:style>
  <w:style w:type="paragraph" w:customStyle="1" w:styleId="TOCTitle">
    <w:name w:val="TOCTitle"/>
    <w:basedOn w:val="Heading1"/>
    <w:rsid w:val="00FE1D6C"/>
    <w:pPr>
      <w:spacing w:after="240"/>
      <w:jc w:val="center"/>
      <w:outlineLvl w:val="9"/>
    </w:pPr>
    <w:rPr>
      <w:caps/>
    </w:rPr>
  </w:style>
  <w:style w:type="paragraph" w:customStyle="1" w:styleId="Version">
    <w:name w:val="Version"/>
    <w:rsid w:val="00FE1D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D6C"/>
    <w:pPr>
      <w:keepNext w:val="0"/>
      <w:tabs>
        <w:tab w:val="right" w:pos="4176"/>
      </w:tabs>
      <w:ind w:left="198" w:hanging="198"/>
    </w:pPr>
    <w:rPr>
      <w:rFonts w:ascii="Garamond" w:hAnsi="Garamond"/>
    </w:rPr>
  </w:style>
  <w:style w:type="paragraph" w:styleId="IndexHeading">
    <w:name w:val="index heading"/>
    <w:basedOn w:val="Normal"/>
    <w:next w:val="Index1"/>
    <w:semiHidden/>
    <w:rsid w:val="00FE1D6C"/>
    <w:pPr>
      <w:spacing w:before="120" w:after="120"/>
    </w:pPr>
    <w:rPr>
      <w:rFonts w:ascii="Arial" w:hAnsi="Arial"/>
      <w:b/>
      <w:color w:val="918585"/>
      <w:sz w:val="24"/>
    </w:rPr>
  </w:style>
  <w:style w:type="paragraph" w:styleId="Header">
    <w:name w:val="header"/>
    <w:basedOn w:val="Normal"/>
    <w:link w:val="HeaderChar"/>
    <w:rsid w:val="00FE1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D6C"/>
    <w:rPr>
      <w:rFonts w:ascii="Times New Roman" w:eastAsia="Times New Roman" w:hAnsi="Times New Roman" w:cs="Times New Roman"/>
      <w:sz w:val="16"/>
      <w:szCs w:val="20"/>
      <w:lang w:val="en-GB" w:eastAsia="en-US"/>
    </w:rPr>
  </w:style>
  <w:style w:type="paragraph" w:customStyle="1" w:styleId="Chapter">
    <w:name w:val="Chapter"/>
    <w:basedOn w:val="Normal"/>
    <w:rsid w:val="00FE1D6C"/>
    <w:pPr>
      <w:spacing w:before="240"/>
    </w:pPr>
    <w:rPr>
      <w:rFonts w:ascii="Times New Roman" w:hAnsi="Times New Roman"/>
      <w:smallCaps/>
      <w:spacing w:val="80"/>
      <w:sz w:val="28"/>
    </w:rPr>
  </w:style>
  <w:style w:type="paragraph" w:customStyle="1" w:styleId="InChapter">
    <w:name w:val="InChapter"/>
    <w:basedOn w:val="Heading3"/>
    <w:rsid w:val="00FE1D6C"/>
    <w:pPr>
      <w:spacing w:after="240"/>
      <w:outlineLvl w:val="9"/>
    </w:pPr>
    <w:rPr>
      <w:noProof/>
    </w:rPr>
  </w:style>
  <w:style w:type="paragraph" w:styleId="Index2">
    <w:name w:val="index 2"/>
    <w:basedOn w:val="Normal"/>
    <w:next w:val="Normal"/>
    <w:semiHidden/>
    <w:rsid w:val="00FE1D6C"/>
    <w:pPr>
      <w:tabs>
        <w:tab w:val="right" w:pos="4176"/>
      </w:tabs>
      <w:ind w:left="568" w:hanging="284"/>
    </w:pPr>
    <w:rPr>
      <w:rFonts w:ascii="Garamond" w:hAnsi="Garamond"/>
    </w:rPr>
  </w:style>
  <w:style w:type="paragraph" w:customStyle="1" w:styleId="Byline">
    <w:name w:val="Byline"/>
    <w:rsid w:val="00FE1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D6C"/>
    <w:pPr>
      <w:tabs>
        <w:tab w:val="clear" w:pos="3600"/>
        <w:tab w:val="clear" w:pos="3958"/>
      </w:tabs>
      <w:jc w:val="right"/>
    </w:pPr>
  </w:style>
  <w:style w:type="character" w:styleId="Emphasis">
    <w:name w:val="Emphasis"/>
    <w:basedOn w:val="DefaultParagraphFont"/>
    <w:qFormat/>
    <w:rsid w:val="00FE1D6C"/>
    <w:rPr>
      <w:i/>
    </w:rPr>
  </w:style>
  <w:style w:type="paragraph" w:styleId="Caption">
    <w:name w:val="caption"/>
    <w:basedOn w:val="BodyText"/>
    <w:next w:val="Normal"/>
    <w:qFormat/>
    <w:rsid w:val="00FE1D6C"/>
    <w:pPr>
      <w:framePr w:w="2268" w:hSpace="181" w:vSpace="181" w:wrap="around" w:vAnchor="text" w:hAnchor="page" w:x="1135" w:y="285" w:anchorLock="1"/>
    </w:pPr>
    <w:rPr>
      <w:i/>
    </w:rPr>
  </w:style>
  <w:style w:type="paragraph" w:customStyle="1" w:styleId="MiniTOCTitle">
    <w:name w:val="MiniTOCTitle"/>
    <w:basedOn w:val="Heading4"/>
    <w:rsid w:val="00FE1D6C"/>
    <w:pPr>
      <w:spacing w:before="240"/>
      <w:outlineLvl w:val="9"/>
    </w:pPr>
    <w:rPr>
      <w:noProof/>
      <w:sz w:val="24"/>
    </w:rPr>
  </w:style>
  <w:style w:type="paragraph" w:customStyle="1" w:styleId="MiniTOCItem">
    <w:name w:val="MiniTOCItem"/>
    <w:basedOn w:val="ListBullet"/>
    <w:rsid w:val="00FE1D6C"/>
    <w:pPr>
      <w:numPr>
        <w:numId w:val="0"/>
      </w:numPr>
      <w:tabs>
        <w:tab w:val="right" w:leader="dot" w:pos="6521"/>
      </w:tabs>
      <w:spacing w:before="0" w:after="0"/>
    </w:pPr>
  </w:style>
  <w:style w:type="paragraph" w:customStyle="1" w:styleId="TOFTitle">
    <w:name w:val="TOFTitle"/>
    <w:basedOn w:val="TOCTitle"/>
    <w:rsid w:val="00FE1D6C"/>
  </w:style>
  <w:style w:type="paragraph" w:styleId="TableofFigures">
    <w:name w:val="table of figures"/>
    <w:basedOn w:val="Normal"/>
    <w:next w:val="Normal"/>
    <w:semiHidden/>
    <w:rsid w:val="00FE1D6C"/>
    <w:pPr>
      <w:tabs>
        <w:tab w:val="right" w:leader="dot" w:pos="9072"/>
      </w:tabs>
      <w:ind w:left="970" w:hanging="403"/>
    </w:pPr>
    <w:rPr>
      <w:rFonts w:ascii="Times New Roman" w:hAnsi="Times New Roman"/>
      <w:b/>
    </w:rPr>
  </w:style>
  <w:style w:type="paragraph" w:styleId="ListNumber">
    <w:name w:val="List Number"/>
    <w:basedOn w:val="List"/>
    <w:rsid w:val="00FE1D6C"/>
    <w:pPr>
      <w:numPr>
        <w:numId w:val="15"/>
      </w:numPr>
      <w:tabs>
        <w:tab w:val="clear" w:pos="340"/>
      </w:tabs>
    </w:pPr>
  </w:style>
  <w:style w:type="character" w:customStyle="1" w:styleId="WingdingSymbols">
    <w:name w:val="Wingding Symbols"/>
    <w:rsid w:val="00FE1D6C"/>
    <w:rPr>
      <w:rFonts w:ascii="Wingdings" w:hAnsi="Wingdings"/>
    </w:rPr>
  </w:style>
  <w:style w:type="paragraph" w:customStyle="1" w:styleId="TableHeading">
    <w:name w:val="Table Heading"/>
    <w:basedOn w:val="HeadingBase"/>
    <w:rsid w:val="00FE1D6C"/>
    <w:pPr>
      <w:keepLines/>
      <w:pBdr>
        <w:bottom w:val="single" w:sz="6" w:space="1" w:color="918585"/>
      </w:pBdr>
      <w:spacing w:before="240"/>
    </w:pPr>
  </w:style>
  <w:style w:type="character" w:customStyle="1" w:styleId="HotSpot">
    <w:name w:val="HotSpot"/>
    <w:rsid w:val="00FE1D6C"/>
    <w:rPr>
      <w:color w:val="0033CC"/>
      <w:u w:val="none"/>
    </w:rPr>
  </w:style>
  <w:style w:type="paragraph" w:customStyle="1" w:styleId="BodyTextRight">
    <w:name w:val="Body Text Right"/>
    <w:basedOn w:val="BodyText"/>
    <w:rsid w:val="00FE1D6C"/>
    <w:pPr>
      <w:spacing w:before="0" w:after="0"/>
      <w:jc w:val="right"/>
    </w:pPr>
  </w:style>
  <w:style w:type="paragraph" w:styleId="Index3">
    <w:name w:val="index 3"/>
    <w:basedOn w:val="ListNumber2"/>
    <w:next w:val="Normal"/>
    <w:semiHidden/>
    <w:rsid w:val="00FE1D6C"/>
    <w:pPr>
      <w:numPr>
        <w:numId w:val="0"/>
      </w:numPr>
      <w:tabs>
        <w:tab w:val="right" w:leader="dot" w:pos="4176"/>
      </w:tabs>
    </w:pPr>
  </w:style>
  <w:style w:type="paragraph" w:styleId="ListNumber2">
    <w:name w:val="List Number 2"/>
    <w:basedOn w:val="List2"/>
    <w:rsid w:val="00FE1D6C"/>
    <w:pPr>
      <w:numPr>
        <w:numId w:val="10"/>
      </w:numPr>
      <w:tabs>
        <w:tab w:val="clear" w:pos="1060"/>
      </w:tabs>
    </w:pPr>
  </w:style>
  <w:style w:type="paragraph" w:customStyle="1" w:styleId="MarginNote">
    <w:name w:val="Margin Note"/>
    <w:basedOn w:val="BodyText"/>
    <w:rsid w:val="00FE1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D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D6C"/>
    <w:rPr>
      <w:sz w:val="32"/>
    </w:rPr>
  </w:style>
  <w:style w:type="paragraph" w:customStyle="1" w:styleId="HeadingProcedure">
    <w:name w:val="Heading Procedure"/>
    <w:basedOn w:val="HeadingBase"/>
    <w:next w:val="Normal"/>
    <w:rsid w:val="00FE1D6C"/>
    <w:pPr>
      <w:tabs>
        <w:tab w:val="left" w:pos="0"/>
      </w:tabs>
      <w:spacing w:before="120" w:after="60"/>
    </w:pPr>
    <w:rPr>
      <w:i/>
      <w:color w:val="918585"/>
      <w:sz w:val="22"/>
    </w:rPr>
  </w:style>
  <w:style w:type="paragraph" w:customStyle="1" w:styleId="TableBodyText">
    <w:name w:val="Table Body Text"/>
    <w:basedOn w:val="BodyText"/>
    <w:rsid w:val="00FE1D6C"/>
    <w:pPr>
      <w:spacing w:before="60" w:after="60"/>
    </w:pPr>
  </w:style>
  <w:style w:type="paragraph" w:styleId="ListContinue">
    <w:name w:val="List Continue"/>
    <w:basedOn w:val="List"/>
    <w:rsid w:val="00FE1D6C"/>
    <w:pPr>
      <w:ind w:firstLine="0"/>
    </w:pPr>
  </w:style>
  <w:style w:type="paragraph" w:customStyle="1" w:styleId="ListNote">
    <w:name w:val="List Note"/>
    <w:basedOn w:val="List"/>
    <w:rsid w:val="00FE1D6C"/>
    <w:pPr>
      <w:pBdr>
        <w:top w:val="single" w:sz="6" w:space="2" w:color="918585"/>
        <w:bottom w:val="single" w:sz="6" w:space="2" w:color="918585"/>
      </w:pBdr>
      <w:tabs>
        <w:tab w:val="left" w:pos="1021"/>
      </w:tabs>
      <w:ind w:firstLine="0"/>
    </w:pPr>
  </w:style>
  <w:style w:type="paragraph" w:customStyle="1" w:styleId="Warning">
    <w:name w:val="Warning"/>
    <w:basedOn w:val="BodyText"/>
    <w:rsid w:val="00FE1D6C"/>
    <w:pPr>
      <w:shd w:val="clear" w:color="auto" w:fill="D9D9D9"/>
      <w:tabs>
        <w:tab w:val="left" w:pos="992"/>
      </w:tabs>
      <w:ind w:left="119" w:right="119"/>
    </w:pPr>
    <w:rPr>
      <w:sz w:val="20"/>
    </w:rPr>
  </w:style>
  <w:style w:type="paragraph" w:customStyle="1" w:styleId="MarginIcons">
    <w:name w:val="Margin Icons"/>
    <w:basedOn w:val="BodyText"/>
    <w:rsid w:val="00FE1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D6C"/>
    <w:rPr>
      <w:rFonts w:ascii="Courier New" w:hAnsi="Courier New"/>
    </w:rPr>
  </w:style>
  <w:style w:type="paragraph" w:customStyle="1" w:styleId="NoteBullet">
    <w:name w:val="Note Bullet"/>
    <w:basedOn w:val="Note"/>
    <w:rsid w:val="00FE1D6C"/>
    <w:pPr>
      <w:tabs>
        <w:tab w:val="clear" w:pos="680"/>
      </w:tabs>
      <w:spacing w:before="60" w:after="60"/>
    </w:pPr>
  </w:style>
  <w:style w:type="paragraph" w:customStyle="1" w:styleId="SubHeading2">
    <w:name w:val="SubHeading2"/>
    <w:basedOn w:val="HeadingBase"/>
    <w:rsid w:val="00FE1D6C"/>
    <w:pPr>
      <w:spacing w:before="240" w:after="60"/>
    </w:pPr>
    <w:rPr>
      <w:sz w:val="20"/>
    </w:rPr>
  </w:style>
  <w:style w:type="paragraph" w:customStyle="1" w:styleId="SubHeading1">
    <w:name w:val="SubHeading1"/>
    <w:basedOn w:val="HeadingBase"/>
    <w:rsid w:val="00FE1D6C"/>
    <w:pPr>
      <w:spacing w:before="240" w:after="60"/>
    </w:pPr>
    <w:rPr>
      <w:color w:val="918585"/>
      <w:sz w:val="22"/>
    </w:rPr>
  </w:style>
  <w:style w:type="paragraph" w:customStyle="1" w:styleId="SideHeading">
    <w:name w:val="Side Heading"/>
    <w:basedOn w:val="HeadingBase"/>
    <w:rsid w:val="00FE1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D6C"/>
    <w:pPr>
      <w:tabs>
        <w:tab w:val="num" w:pos="360"/>
      </w:tabs>
    </w:pPr>
  </w:style>
  <w:style w:type="paragraph" w:styleId="PlainText">
    <w:name w:val="Plain Text"/>
    <w:basedOn w:val="Normal"/>
    <w:link w:val="PlainTextChar"/>
    <w:rsid w:val="00FE1D6C"/>
    <w:rPr>
      <w:sz w:val="20"/>
    </w:rPr>
  </w:style>
  <w:style w:type="character" w:customStyle="1" w:styleId="PlainTextChar">
    <w:name w:val="Plain Text Char"/>
    <w:basedOn w:val="DefaultParagraphFont"/>
    <w:link w:val="PlainText"/>
    <w:rsid w:val="00FE1D6C"/>
    <w:rPr>
      <w:rFonts w:ascii="Courier New" w:eastAsia="Times New Roman" w:hAnsi="Courier New" w:cs="Times New Roman"/>
      <w:sz w:val="20"/>
      <w:szCs w:val="20"/>
      <w:lang w:eastAsia="en-US"/>
    </w:rPr>
  </w:style>
  <w:style w:type="character" w:customStyle="1" w:styleId="MenuOption">
    <w:name w:val="Menu Option"/>
    <w:basedOn w:val="DefaultParagraphFont"/>
    <w:rsid w:val="00FE1D6C"/>
    <w:rPr>
      <w:b/>
      <w:smallCaps/>
    </w:rPr>
  </w:style>
  <w:style w:type="paragraph" w:customStyle="1" w:styleId="TableListNumber">
    <w:name w:val="Table List Number"/>
    <w:basedOn w:val="ListNumber"/>
    <w:rsid w:val="00FE1D6C"/>
    <w:pPr>
      <w:numPr>
        <w:numId w:val="0"/>
      </w:numPr>
    </w:pPr>
  </w:style>
  <w:style w:type="paragraph" w:styleId="TOC4">
    <w:name w:val="toc 4"/>
    <w:basedOn w:val="TOCBase"/>
    <w:next w:val="Normal"/>
    <w:semiHidden/>
    <w:rsid w:val="00FE1D6C"/>
    <w:pPr>
      <w:tabs>
        <w:tab w:val="right" w:leader="dot" w:pos="9071"/>
      </w:tabs>
      <w:ind w:left="1701"/>
    </w:pPr>
  </w:style>
  <w:style w:type="paragraph" w:customStyle="1" w:styleId="ListAlpha">
    <w:name w:val="List Alpha"/>
    <w:basedOn w:val="List"/>
    <w:rsid w:val="00FE1D6C"/>
    <w:pPr>
      <w:numPr>
        <w:numId w:val="9"/>
      </w:numPr>
    </w:pPr>
  </w:style>
  <w:style w:type="paragraph" w:customStyle="1" w:styleId="ListAlpha2">
    <w:name w:val="List Alpha 2"/>
    <w:basedOn w:val="List2"/>
    <w:rsid w:val="00FE1D6C"/>
    <w:pPr>
      <w:numPr>
        <w:numId w:val="8"/>
      </w:numPr>
    </w:pPr>
  </w:style>
  <w:style w:type="paragraph" w:styleId="List2">
    <w:name w:val="List 2"/>
    <w:basedOn w:val="BodyText"/>
    <w:rsid w:val="00FE1D6C"/>
    <w:pPr>
      <w:tabs>
        <w:tab w:val="left" w:pos="680"/>
      </w:tabs>
      <w:spacing w:before="60" w:after="60"/>
      <w:ind w:left="680" w:hanging="340"/>
    </w:pPr>
  </w:style>
  <w:style w:type="paragraph" w:styleId="List3">
    <w:name w:val="List 3"/>
    <w:basedOn w:val="BodyText"/>
    <w:rsid w:val="00FE1D6C"/>
    <w:pPr>
      <w:tabs>
        <w:tab w:val="left" w:pos="1021"/>
      </w:tabs>
      <w:spacing w:before="60" w:after="60"/>
      <w:ind w:left="1020" w:hanging="340"/>
    </w:pPr>
  </w:style>
  <w:style w:type="paragraph" w:styleId="List4">
    <w:name w:val="List 4"/>
    <w:basedOn w:val="BodyText"/>
    <w:rsid w:val="00FE1D6C"/>
    <w:pPr>
      <w:tabs>
        <w:tab w:val="left" w:pos="1361"/>
      </w:tabs>
      <w:spacing w:before="60" w:after="60"/>
      <w:ind w:left="1361" w:hanging="340"/>
    </w:pPr>
  </w:style>
  <w:style w:type="paragraph" w:styleId="List5">
    <w:name w:val="List 5"/>
    <w:basedOn w:val="BodyText"/>
    <w:rsid w:val="00FE1D6C"/>
    <w:pPr>
      <w:tabs>
        <w:tab w:val="left" w:pos="1701"/>
      </w:tabs>
      <w:spacing w:before="60" w:after="60"/>
      <w:ind w:left="1701" w:hanging="340"/>
    </w:pPr>
  </w:style>
  <w:style w:type="paragraph" w:styleId="ListBullet3">
    <w:name w:val="List Bullet 3"/>
    <w:basedOn w:val="List3"/>
    <w:rsid w:val="00FE1D6C"/>
    <w:pPr>
      <w:numPr>
        <w:numId w:val="14"/>
      </w:numPr>
      <w:tabs>
        <w:tab w:val="clear" w:pos="1021"/>
      </w:tabs>
      <w:ind w:left="1037" w:hanging="357"/>
    </w:pPr>
  </w:style>
  <w:style w:type="paragraph" w:styleId="ListBullet4">
    <w:name w:val="List Bullet 4"/>
    <w:basedOn w:val="List4"/>
    <w:rsid w:val="00FE1D6C"/>
    <w:pPr>
      <w:numPr>
        <w:numId w:val="3"/>
      </w:numPr>
      <w:tabs>
        <w:tab w:val="clear" w:pos="1361"/>
      </w:tabs>
    </w:pPr>
  </w:style>
  <w:style w:type="paragraph" w:styleId="ListBullet5">
    <w:name w:val="List Bullet 5"/>
    <w:basedOn w:val="List5"/>
    <w:rsid w:val="00FE1D6C"/>
    <w:pPr>
      <w:numPr>
        <w:numId w:val="4"/>
      </w:numPr>
    </w:pPr>
  </w:style>
  <w:style w:type="paragraph" w:styleId="ListContinue2">
    <w:name w:val="List Continue 2"/>
    <w:basedOn w:val="List2"/>
    <w:rsid w:val="00FE1D6C"/>
    <w:pPr>
      <w:ind w:firstLine="0"/>
    </w:pPr>
  </w:style>
  <w:style w:type="paragraph" w:styleId="ListContinue3">
    <w:name w:val="List Continue 3"/>
    <w:basedOn w:val="List3"/>
    <w:rsid w:val="00FE1D6C"/>
    <w:pPr>
      <w:ind w:left="1021" w:firstLine="0"/>
    </w:pPr>
  </w:style>
  <w:style w:type="paragraph" w:styleId="ListContinue4">
    <w:name w:val="List Continue 4"/>
    <w:basedOn w:val="List4"/>
    <w:rsid w:val="00FE1D6C"/>
    <w:pPr>
      <w:ind w:firstLine="0"/>
    </w:pPr>
  </w:style>
  <w:style w:type="paragraph" w:styleId="ListContinue5">
    <w:name w:val="List Continue 5"/>
    <w:basedOn w:val="List5"/>
    <w:rsid w:val="00FE1D6C"/>
    <w:pPr>
      <w:ind w:firstLine="0"/>
    </w:pPr>
  </w:style>
  <w:style w:type="paragraph" w:styleId="ListNumber3">
    <w:name w:val="List Number 3"/>
    <w:basedOn w:val="List3"/>
    <w:rsid w:val="00FE1D6C"/>
    <w:pPr>
      <w:numPr>
        <w:numId w:val="5"/>
      </w:numPr>
    </w:pPr>
  </w:style>
  <w:style w:type="paragraph" w:styleId="ListNumber4">
    <w:name w:val="List Number 4"/>
    <w:basedOn w:val="List4"/>
    <w:rsid w:val="00FE1D6C"/>
    <w:pPr>
      <w:numPr>
        <w:numId w:val="6"/>
      </w:numPr>
    </w:pPr>
  </w:style>
  <w:style w:type="paragraph" w:styleId="ListNumber5">
    <w:name w:val="List Number 5"/>
    <w:basedOn w:val="List5"/>
    <w:rsid w:val="00FE1D6C"/>
    <w:pPr>
      <w:numPr>
        <w:numId w:val="7"/>
      </w:numPr>
    </w:pPr>
  </w:style>
  <w:style w:type="paragraph" w:styleId="BlockText">
    <w:name w:val="Block Text"/>
    <w:basedOn w:val="Normal"/>
    <w:rsid w:val="00FE1D6C"/>
    <w:pPr>
      <w:spacing w:after="120"/>
      <w:ind w:left="1440" w:right="1440"/>
    </w:pPr>
  </w:style>
  <w:style w:type="character" w:customStyle="1" w:styleId="Subscript">
    <w:name w:val="Subscript"/>
    <w:basedOn w:val="DefaultParagraphFont"/>
    <w:rsid w:val="00FE1D6C"/>
    <w:rPr>
      <w:sz w:val="16"/>
      <w:vertAlign w:val="subscript"/>
    </w:rPr>
  </w:style>
  <w:style w:type="character" w:customStyle="1" w:styleId="Superscript">
    <w:name w:val="Superscript"/>
    <w:basedOn w:val="DefaultParagraphFont"/>
    <w:rsid w:val="00FE1D6C"/>
    <w:rPr>
      <w:sz w:val="16"/>
      <w:vertAlign w:val="superscript"/>
    </w:rPr>
  </w:style>
  <w:style w:type="character" w:customStyle="1" w:styleId="Symbols">
    <w:name w:val="Symbols"/>
    <w:basedOn w:val="DefaultParagraphFont"/>
    <w:rsid w:val="00FE1D6C"/>
    <w:rPr>
      <w:rFonts w:ascii="Symbol" w:hAnsi="Symbol"/>
    </w:rPr>
  </w:style>
  <w:style w:type="character" w:customStyle="1" w:styleId="MenuOptions">
    <w:name w:val="Menu Options"/>
    <w:basedOn w:val="DefaultParagraphFont"/>
    <w:rsid w:val="00FE1D6C"/>
    <w:rPr>
      <w:rFonts w:ascii="Arial Narrow" w:hAnsi="Arial Narrow"/>
      <w:smallCaps/>
    </w:rPr>
  </w:style>
  <w:style w:type="character" w:customStyle="1" w:styleId="Buttons">
    <w:name w:val="Buttons"/>
    <w:basedOn w:val="DefaultParagraphFont"/>
    <w:rsid w:val="00FE1D6C"/>
    <w:rPr>
      <w:b/>
    </w:rPr>
  </w:style>
  <w:style w:type="character" w:customStyle="1" w:styleId="Underlined">
    <w:name w:val="Underlined"/>
    <w:basedOn w:val="DefaultParagraphFont"/>
    <w:rsid w:val="00FE1D6C"/>
    <w:rPr>
      <w:u w:val="single"/>
    </w:rPr>
  </w:style>
  <w:style w:type="paragraph" w:customStyle="1" w:styleId="TableBodyTextRight">
    <w:name w:val="Table Body Text Right"/>
    <w:basedOn w:val="TableBodyText"/>
    <w:rsid w:val="00FE1D6C"/>
    <w:pPr>
      <w:widowControl w:val="0"/>
      <w:autoSpaceDE w:val="0"/>
      <w:autoSpaceDN w:val="0"/>
      <w:adjustRightInd w:val="0"/>
      <w:jc w:val="right"/>
    </w:pPr>
    <w:rPr>
      <w:rFonts w:cs="Arial"/>
      <w:szCs w:val="18"/>
    </w:rPr>
  </w:style>
  <w:style w:type="paragraph" w:customStyle="1" w:styleId="CopyrightText">
    <w:name w:val="Copyright Text"/>
    <w:basedOn w:val="BodyText"/>
    <w:rsid w:val="00FE1D6C"/>
    <w:rPr>
      <w:sz w:val="18"/>
    </w:rPr>
  </w:style>
  <w:style w:type="paragraph" w:customStyle="1" w:styleId="BodySmallRight">
    <w:name w:val="Body Small Right"/>
    <w:basedOn w:val="BodyTextRight"/>
    <w:rsid w:val="00FE1D6C"/>
    <w:rPr>
      <w:sz w:val="18"/>
      <w:szCs w:val="18"/>
    </w:rPr>
  </w:style>
  <w:style w:type="paragraph" w:customStyle="1" w:styleId="MarginEdition">
    <w:name w:val="Margin Edition"/>
    <w:basedOn w:val="MarginNote"/>
    <w:rsid w:val="00FE1D6C"/>
    <w:pPr>
      <w:spacing w:before="0" w:after="0"/>
    </w:pPr>
    <w:rPr>
      <w:rFonts w:ascii="Times New Roman" w:hAnsi="Times New Roman"/>
      <w:color w:val="999999"/>
    </w:rPr>
  </w:style>
  <w:style w:type="paragraph" w:customStyle="1" w:styleId="Spacer">
    <w:name w:val="Spacer"/>
    <w:basedOn w:val="Normal"/>
    <w:rsid w:val="00FE1D6C"/>
    <w:rPr>
      <w:sz w:val="2"/>
      <w:szCs w:val="2"/>
    </w:rPr>
  </w:style>
  <w:style w:type="character" w:customStyle="1" w:styleId="Small">
    <w:name w:val="Small"/>
    <w:basedOn w:val="DefaultParagraphFont"/>
    <w:rsid w:val="00FE1D6C"/>
    <w:rPr>
      <w:sz w:val="16"/>
    </w:rPr>
  </w:style>
  <w:style w:type="paragraph" w:customStyle="1" w:styleId="WideTable">
    <w:name w:val="Wide Table"/>
    <w:basedOn w:val="Normal"/>
    <w:rsid w:val="00FE1D6C"/>
    <w:pPr>
      <w:ind w:left="-1418"/>
    </w:pPr>
    <w:rPr>
      <w:sz w:val="2"/>
      <w:szCs w:val="2"/>
    </w:rPr>
  </w:style>
  <w:style w:type="character" w:styleId="PageNumber">
    <w:name w:val="page number"/>
    <w:basedOn w:val="DefaultParagraphFont"/>
    <w:rsid w:val="00FE1D6C"/>
  </w:style>
  <w:style w:type="paragraph" w:styleId="Quote">
    <w:name w:val="Quote"/>
    <w:basedOn w:val="Heading1"/>
    <w:link w:val="QuoteChar"/>
    <w:qFormat/>
    <w:rsid w:val="00FE1D6C"/>
    <w:rPr>
      <w:b w:val="0"/>
      <w:sz w:val="72"/>
      <w:szCs w:val="72"/>
      <w:lang w:val="en-NZ"/>
    </w:rPr>
  </w:style>
  <w:style w:type="character" w:customStyle="1" w:styleId="QuoteChar">
    <w:name w:val="Quote Char"/>
    <w:basedOn w:val="DefaultParagraphFont"/>
    <w:link w:val="Quote"/>
    <w:rsid w:val="00FE1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D6C"/>
    <w:pPr>
      <w:pageBreakBefore/>
    </w:pPr>
  </w:style>
  <w:style w:type="paragraph" w:customStyle="1" w:styleId="Border">
    <w:name w:val="Border"/>
    <w:basedOn w:val="Normal"/>
    <w:qFormat/>
    <w:rsid w:val="00FE1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D6C"/>
    <w:rPr>
      <w:b/>
      <w:bCs/>
      <w:i/>
      <w:iCs/>
      <w:color w:val="auto"/>
    </w:rPr>
  </w:style>
  <w:style w:type="paragraph" w:styleId="IntenseQuote">
    <w:name w:val="Intense Quote"/>
    <w:basedOn w:val="Normal"/>
    <w:next w:val="Normal"/>
    <w:link w:val="IntenseQuoteChar"/>
    <w:uiPriority w:val="30"/>
    <w:qFormat/>
    <w:rsid w:val="00FE1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D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D6C"/>
    <w:rPr>
      <w:smallCaps/>
      <w:color w:val="auto"/>
      <w:u w:val="single"/>
    </w:rPr>
  </w:style>
  <w:style w:type="character" w:styleId="IntenseReference">
    <w:name w:val="Intense Reference"/>
    <w:basedOn w:val="DefaultParagraphFont"/>
    <w:uiPriority w:val="32"/>
    <w:qFormat/>
    <w:rsid w:val="00FE1D6C"/>
    <w:rPr>
      <w:b/>
      <w:bCs/>
      <w:smallCaps/>
      <w:color w:val="auto"/>
      <w:spacing w:val="5"/>
      <w:u w:val="single"/>
    </w:rPr>
  </w:style>
  <w:style w:type="paragraph" w:customStyle="1" w:styleId="2ColumnHeading">
    <w:name w:val="2Column Heading"/>
    <w:basedOn w:val="BodyText"/>
    <w:qFormat/>
    <w:rsid w:val="00FE1D6C"/>
    <w:pPr>
      <w:spacing w:after="60"/>
      <w:ind w:left="-2268"/>
    </w:pPr>
    <w:rPr>
      <w:b/>
    </w:rPr>
  </w:style>
  <w:style w:type="paragraph" w:customStyle="1" w:styleId="Heading1TOC">
    <w:name w:val="Heading1 TOC"/>
    <w:basedOn w:val="Normal"/>
    <w:qFormat/>
    <w:rsid w:val="00FE1D6C"/>
    <w:pPr>
      <w:spacing w:before="240" w:after="120"/>
    </w:pPr>
    <w:rPr>
      <w:rFonts w:ascii="Times New Roman" w:hAnsi="Times New Roman"/>
      <w:b/>
      <w:sz w:val="32"/>
    </w:rPr>
  </w:style>
  <w:style w:type="paragraph" w:customStyle="1" w:styleId="Heading2TOC">
    <w:name w:val="Heading2 TOC"/>
    <w:basedOn w:val="Normal"/>
    <w:qFormat/>
    <w:rsid w:val="00FE1D6C"/>
    <w:pPr>
      <w:spacing w:before="240" w:after="60"/>
    </w:pPr>
    <w:rPr>
      <w:rFonts w:ascii="Times New Roman" w:hAnsi="Times New Roman"/>
      <w:b/>
      <w:sz w:val="28"/>
    </w:rPr>
  </w:style>
  <w:style w:type="character" w:customStyle="1" w:styleId="Underline">
    <w:name w:val="Underline"/>
    <w:basedOn w:val="DefaultParagraphFont"/>
    <w:qFormat/>
    <w:rsid w:val="00FE1D6C"/>
    <w:rPr>
      <w:u w:val="single"/>
    </w:rPr>
  </w:style>
  <w:style w:type="character" w:customStyle="1" w:styleId="BoldandItalics">
    <w:name w:val="Bold and Italics"/>
    <w:qFormat/>
    <w:rsid w:val="00FE1D6C"/>
    <w:rPr>
      <w:b/>
      <w:i/>
      <w:u w:val="none"/>
    </w:rPr>
  </w:style>
  <w:style w:type="paragraph" w:styleId="BalloonText">
    <w:name w:val="Balloon Text"/>
    <w:basedOn w:val="Normal"/>
    <w:link w:val="BalloonTextChar"/>
    <w:rsid w:val="00FE1D6C"/>
    <w:rPr>
      <w:rFonts w:ascii="Tahoma" w:hAnsi="Tahoma" w:cs="Tahoma"/>
      <w:sz w:val="16"/>
      <w:szCs w:val="16"/>
    </w:rPr>
  </w:style>
  <w:style w:type="character" w:customStyle="1" w:styleId="BalloonTextChar">
    <w:name w:val="Balloon Text Char"/>
    <w:basedOn w:val="DefaultParagraphFont"/>
    <w:link w:val="BalloonText"/>
    <w:rsid w:val="00FE1D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D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D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D6C"/>
    <w:rPr>
      <w:b/>
      <w:color w:val="660033"/>
      <w:spacing w:val="0"/>
    </w:rPr>
  </w:style>
  <w:style w:type="paragraph" w:customStyle="1" w:styleId="Nameditemlist">
    <w:name w:val="Named item list"/>
    <w:basedOn w:val="BodyText"/>
    <w:qFormat/>
    <w:rsid w:val="00FE1D6C"/>
    <w:pPr>
      <w:tabs>
        <w:tab w:val="left" w:pos="2835"/>
      </w:tabs>
      <w:ind w:left="2835" w:hanging="2835"/>
    </w:pPr>
  </w:style>
  <w:style w:type="paragraph" w:customStyle="1" w:styleId="BodyTextnopadding">
    <w:name w:val="Body Text no padding"/>
    <w:basedOn w:val="BodyText"/>
    <w:qFormat/>
    <w:rsid w:val="00FE1D6C"/>
    <w:pPr>
      <w:spacing w:before="0" w:after="0"/>
    </w:pPr>
  </w:style>
  <w:style w:type="character" w:styleId="Hyperlink">
    <w:name w:val="Hyperlink"/>
    <w:basedOn w:val="DefaultParagraphFont"/>
    <w:uiPriority w:val="99"/>
    <w:unhideWhenUsed/>
    <w:rsid w:val="007517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4502</Characters>
  <Application>Microsoft Office Word</Application>
  <DocSecurity>0</DocSecurity>
  <Lines>112</Lines>
  <Paragraphs>98</Paragraphs>
  <ScaleCrop>false</ScaleCrop>
  <Company>Author-it Software Corporation Ltd.</Company>
  <LinksUpToDate>false</LinksUpToDate>
  <CharactersWithSpaces>5106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FNS42022 Certificate IV in Banking Services</dc:title>
  <dc:subject>Approved</dc:subject>
  <dc:creator>PwC’s Skills for Australia</dc:creator>
  <cp:keywords>Release 1</cp:keywords>
  <dc:description>Review Date: 12 April 2008</dc:description>
  <cp:lastModifiedBy>HSD_TPCMSd.prod</cp:lastModifiedBy>
  <cp:revision>3</cp:revision>
  <dcterms:created xsi:type="dcterms:W3CDTF">2022-06-15T19:01:48Z</dcterms:created>
  <dcterms:modified xsi:type="dcterms:W3CDTF">2022-06-14T06:28:00Z</dcterms:modified>
</cp:coreProperties>
</file>