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5BE" w:rsidP="002465BE">
      <w:pPr>
        <w:pStyle w:val="Title"/>
      </w:pPr>
      <w:r>
        <w:fldChar w:fldCharType="begin"/>
      </w:r>
      <w:r>
        <w:instrText xml:space="preserve"> TITLE   \* MERGEFORMAT </w:instrText>
      </w:r>
      <w:r>
        <w:fldChar w:fldCharType="separate"/>
      </w:r>
      <w:r>
        <w:t>FDFWIN1001A Identify key operations in wine production</w:t>
      </w:r>
      <w:r>
        <w:fldChar w:fldCharType="end"/>
      </w:r>
    </w:p>
    <w:p w:rsidR="002465BE" w:rsidP="002465BE">
      <w:pPr>
        <w:pStyle w:val="Version"/>
        <w:sectPr w:rsidSect="00B601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0172" w:rsidP="00B60172">
      <w:pPr>
        <w:pStyle w:val="SuperHeading"/>
      </w:pPr>
      <w:r w:rsidRPr="00B60172">
        <w:t>FDFWIN1001A Identify key operations in wine production</w:t>
      </w:r>
    </w:p>
    <w:p w:rsidR="00000000" w:rsidRPr="00B60172" w:rsidP="00B60172">
      <w:pPr>
        <w:pStyle w:val="Heading1"/>
      </w:pPr>
      <w:bookmarkStart w:id="1" w:name="O_446785"/>
      <w:bookmarkEnd w:id="1"/>
      <w:r w:rsidRPr="00B60172">
        <w:t>Modification History</w:t>
      </w:r>
    </w:p>
    <w:p w:rsidR="00000000" w:rsidRPr="00B60172" w:rsidP="00B60172">
      <w:pPr>
        <w:pStyle w:val="BodyText"/>
      </w:pPr>
      <w:r w:rsidRPr="00B60172">
        <w:t>April 2012: Minor typographical corrections.</w:t>
      </w:r>
    </w:p>
    <w:p w:rsidR="00000000" w:rsidRPr="00B60172" w:rsidP="00B60172">
      <w:pPr>
        <w:pStyle w:val="AllowPageBreak"/>
      </w:pPr>
    </w:p>
    <w:p w:rsidR="00000000" w:rsidRPr="00B60172" w:rsidP="00B60172">
      <w:pPr>
        <w:pStyle w:val="Heading1"/>
      </w:pPr>
      <w:bookmarkStart w:id="2" w:name="O_446781"/>
      <w:bookmarkEnd w:id="2"/>
      <w:r w:rsidRPr="00B60172">
        <w:t>Unit Descriptor</w:t>
      </w:r>
    </w:p>
    <w:tbl>
      <w:tblPr>
        <w:tblW w:w="9462" w:type="dxa"/>
        <w:tblLayout w:type="fixed"/>
        <w:tblCellMar>
          <w:left w:w="62" w:type="dxa"/>
          <w:right w:w="62" w:type="dxa"/>
        </w:tblCellMar>
        <w:tblLook w:val="0000"/>
      </w:tblPr>
      <w:tblGrid>
        <w:gridCol w:w="2700"/>
        <w:gridCol w:w="6762"/>
      </w:tblGrid>
      <w:tr w:rsidTr="00B601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Heading4"/>
            </w:pPr>
            <w:r w:rsidRPr="00B60172">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 xml:space="preserve">This unit covers the identification of the key characteristics of </w:t>
            </w:r>
            <w:r w:rsidRPr="00B60172">
              <w:t>Australian wine production and major industry issues.</w:t>
            </w:r>
          </w:p>
        </w:tc>
      </w:tr>
    </w:tbl>
    <w:p w:rsidR="002465BE" w:rsidP="00B60172">
      <w:pPr>
        <w:pStyle w:val="BodyText"/>
      </w:pPr>
    </w:p>
    <w:p w:rsidR="002465BE" w:rsidP="00B60172">
      <w:pPr>
        <w:pStyle w:val="BodyText"/>
      </w:pPr>
    </w:p>
    <w:p w:rsidR="00000000" w:rsidRPr="00B60172" w:rsidP="00B60172">
      <w:pPr>
        <w:pStyle w:val="Heading1"/>
      </w:pPr>
      <w:bookmarkStart w:id="3" w:name="O_446793"/>
      <w:bookmarkEnd w:id="3"/>
      <w:r w:rsidRPr="00B60172">
        <w:t>Application of the Unit</w:t>
      </w:r>
    </w:p>
    <w:tbl>
      <w:tblPr>
        <w:tblW w:w="9462" w:type="dxa"/>
        <w:tblLayout w:type="fixed"/>
        <w:tblCellMar>
          <w:left w:w="62" w:type="dxa"/>
          <w:right w:w="62" w:type="dxa"/>
        </w:tblCellMar>
        <w:tblLook w:val="0000"/>
      </w:tblPr>
      <w:tblGrid>
        <w:gridCol w:w="2700"/>
        <w:gridCol w:w="6762"/>
      </w:tblGrid>
      <w:tr w:rsidTr="00B601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Heading4"/>
            </w:pPr>
            <w:r w:rsidRPr="00B60172">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This unit supports introductory training in the wine industry, for example, vocational training in high schools and induction or appli</w:t>
            </w:r>
            <w:r w:rsidRPr="00B60172">
              <w:t>cations where overview knowledge of the Australian wine industry is needed (e.g. wine region tourism personnel and wine enterprise support staff).</w:t>
            </w:r>
          </w:p>
          <w:p w:rsidR="00000000" w:rsidRPr="00B60172" w:rsidP="00B60172">
            <w:pPr>
              <w:pStyle w:val="BodyText"/>
            </w:pPr>
            <w:r w:rsidRPr="00B60172">
              <w:t>The unit is intended to be delivered in conjunction with basic wine grape growing, cellar door sales and cell</w:t>
            </w:r>
            <w:r w:rsidRPr="00B60172">
              <w:t xml:space="preserve">ar operations units and assumes that exposure to wine grape growing and winemaking operations is done under close supervision. </w:t>
            </w:r>
          </w:p>
        </w:tc>
      </w:tr>
    </w:tbl>
    <w:p w:rsidR="002465BE" w:rsidP="00B60172">
      <w:pPr>
        <w:pStyle w:val="BodyText"/>
      </w:pPr>
    </w:p>
    <w:p w:rsidR="002465BE" w:rsidP="00B60172">
      <w:pPr>
        <w:pStyle w:val="BodyText"/>
      </w:pPr>
    </w:p>
    <w:p w:rsidR="00000000" w:rsidRPr="00B60172" w:rsidP="00B60172">
      <w:pPr>
        <w:pStyle w:val="Heading1"/>
      </w:pPr>
      <w:bookmarkStart w:id="4" w:name="O_446786"/>
      <w:bookmarkEnd w:id="4"/>
      <w:r w:rsidRPr="00B60172">
        <w:t>Licensing/Regulatory Information</w:t>
      </w:r>
    </w:p>
    <w:p w:rsidR="00000000" w:rsidRPr="00B60172" w:rsidP="00B60172">
      <w:pPr>
        <w:pStyle w:val="BodyText"/>
      </w:pPr>
      <w:r w:rsidRPr="00B60172">
        <w:t>Not applicable.</w:t>
      </w:r>
    </w:p>
    <w:p w:rsidR="00000000" w:rsidRPr="00B60172" w:rsidP="00B60172">
      <w:pPr>
        <w:pStyle w:val="AllowPageBreak"/>
      </w:pPr>
    </w:p>
    <w:p w:rsidR="00000000" w:rsidRPr="00B60172" w:rsidP="00B60172">
      <w:pPr>
        <w:pStyle w:val="Heading1"/>
      </w:pPr>
      <w:bookmarkStart w:id="5" w:name="O_446784"/>
      <w:bookmarkEnd w:id="5"/>
      <w:r w:rsidRPr="00B60172">
        <w:t>Pre-Requisites</w:t>
      </w:r>
    </w:p>
    <w:p w:rsidR="00000000" w:rsidRPr="00B60172" w:rsidP="00B60172">
      <w:pPr>
        <w:pStyle w:val="BodyText"/>
      </w:pPr>
      <w:r w:rsidRPr="00B60172">
        <w:t>Not applicable.</w:t>
      </w:r>
    </w:p>
    <w:p w:rsidR="00000000" w:rsidRPr="00B60172" w:rsidP="00B60172">
      <w:pPr>
        <w:pStyle w:val="AllowPageBreak"/>
      </w:pPr>
    </w:p>
    <w:p w:rsidR="00000000" w:rsidRPr="00B60172" w:rsidP="00B60172">
      <w:pPr>
        <w:pStyle w:val="Heading1"/>
      </w:pPr>
      <w:bookmarkStart w:id="6" w:name="O_446789"/>
      <w:bookmarkEnd w:id="6"/>
      <w:r w:rsidRPr="00B60172">
        <w:t>Employability Skills Information</w:t>
      </w:r>
    </w:p>
    <w:tbl>
      <w:tblPr>
        <w:tblW w:w="9462" w:type="dxa"/>
        <w:tblLayout w:type="fixed"/>
        <w:tblCellMar>
          <w:left w:w="62" w:type="dxa"/>
          <w:right w:w="62" w:type="dxa"/>
        </w:tblCellMar>
        <w:tblLook w:val="0000"/>
      </w:tblPr>
      <w:tblGrid>
        <w:gridCol w:w="2700"/>
        <w:gridCol w:w="6762"/>
      </w:tblGrid>
      <w:tr w:rsidTr="00B601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Heading4"/>
            </w:pPr>
            <w:r w:rsidRPr="00B60172">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This unit contains employability skills.</w:t>
            </w:r>
          </w:p>
        </w:tc>
      </w:tr>
    </w:tbl>
    <w:p w:rsidR="002465BE" w:rsidP="00B60172">
      <w:pPr>
        <w:pStyle w:val="BodyText"/>
      </w:pPr>
    </w:p>
    <w:p w:rsidR="002465BE" w:rsidP="00B60172">
      <w:pPr>
        <w:pStyle w:val="BodyText"/>
      </w:pPr>
    </w:p>
    <w:p w:rsidR="00000000" w:rsidRPr="00B60172" w:rsidP="00B60172">
      <w:pPr>
        <w:pStyle w:val="Heading1"/>
      </w:pPr>
      <w:bookmarkStart w:id="7" w:name="O_446790"/>
      <w:bookmarkEnd w:id="7"/>
      <w:r w:rsidRPr="00B60172">
        <w:t>Elements and Performance Criteria Pre-Content</w:t>
      </w:r>
    </w:p>
    <w:tbl>
      <w:tblPr>
        <w:tblW w:w="9462" w:type="dxa"/>
        <w:tblLayout w:type="fixed"/>
        <w:tblCellMar>
          <w:left w:w="62" w:type="dxa"/>
          <w:right w:w="62" w:type="dxa"/>
        </w:tblCellMar>
        <w:tblLook w:val="0000"/>
      </w:tblPr>
      <w:tblGrid>
        <w:gridCol w:w="2700"/>
        <w:gridCol w:w="6762"/>
      </w:tblGrid>
      <w:tr w:rsidTr="00B6017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0172">
            <w:pPr>
              <w:pStyle w:val="BodyText"/>
              <w:rPr>
                <w:lang w:val="en-NZ"/>
              </w:rPr>
            </w:pPr>
            <w:r w:rsidRPr="00B6017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60172" w:rsidP="00B60172">
            <w:pPr>
              <w:pStyle w:val="BodyText"/>
            </w:pPr>
            <w:r w:rsidRPr="00B60172">
              <w:t>Performance criteria describe the performance needed to demonstrate achievement of the element. Where bold italicised text is used, further information is detailed in the required skills and knowledge section and the range statement. Assessment of performa</w:t>
            </w:r>
            <w:r w:rsidRPr="00B60172">
              <w:t>nce is to be consistent with the evidence guide.</w:t>
            </w:r>
          </w:p>
        </w:tc>
      </w:tr>
    </w:tbl>
    <w:p w:rsidR="00000000" w:rsidRPr="00B60172" w:rsidP="00B60172">
      <w:pPr>
        <w:pStyle w:val="BodyText"/>
      </w:pPr>
    </w:p>
    <w:p w:rsidR="00000000" w:rsidRPr="00B60172" w:rsidP="00B60172">
      <w:pPr>
        <w:pStyle w:val="AllowPageBreak"/>
      </w:pPr>
    </w:p>
    <w:p w:rsidR="00000000" w:rsidRPr="00B60172" w:rsidP="00B60172">
      <w:pPr>
        <w:pStyle w:val="Heading1"/>
      </w:pPr>
      <w:bookmarkStart w:id="8" w:name="O_446791"/>
      <w:bookmarkEnd w:id="8"/>
      <w:r w:rsidRPr="00B60172">
        <w:t>Elements and Performance Criteria</w:t>
      </w:r>
    </w:p>
    <w:tbl>
      <w:tblPr>
        <w:tblW w:w="9462" w:type="dxa"/>
        <w:tblLayout w:type="fixed"/>
        <w:tblCellMar>
          <w:left w:w="62" w:type="dxa"/>
          <w:right w:w="62" w:type="dxa"/>
        </w:tblCellMar>
        <w:tblLook w:val="0000"/>
      </w:tblPr>
      <w:tblGrid>
        <w:gridCol w:w="2700"/>
        <w:gridCol w:w="6762"/>
      </w:tblGrid>
      <w:tr w:rsidTr="00B6017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60172">
            <w:pPr>
              <w:pStyle w:val="TableHeading"/>
            </w:pPr>
            <w:r w:rsidRPr="00B60172">
              <w:t>ELEMENT</w:t>
            </w:r>
          </w:p>
        </w:tc>
        <w:tc>
          <w:tcPr>
            <w:tcW w:w="6762" w:type="dxa"/>
            <w:tcBorders>
              <w:top w:val="nil"/>
              <w:left w:val="nil"/>
              <w:bottom w:val="nil"/>
              <w:right w:val="nil"/>
            </w:tcBorders>
            <w:tcMar>
              <w:top w:w="0" w:type="dxa"/>
              <w:left w:w="62" w:type="dxa"/>
              <w:bottom w:w="0" w:type="dxa"/>
              <w:right w:w="62" w:type="dxa"/>
            </w:tcMar>
          </w:tcPr>
          <w:p w:rsidR="00000000" w:rsidP="00B60172">
            <w:pPr>
              <w:pStyle w:val="TableHeading"/>
            </w:pPr>
            <w:r w:rsidRPr="00B60172">
              <w:t>PERFORMANCE CRITERIA</w:t>
            </w:r>
          </w:p>
        </w:tc>
      </w:tr>
      <w:tr w:rsidTr="00B6017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0172">
            <w:pPr>
              <w:pStyle w:val="List"/>
              <w:rPr>
                <w:lang w:val="en-NZ"/>
              </w:rPr>
            </w:pPr>
            <w:r w:rsidRPr="00B60172">
              <w:t>1.</w:t>
            </w:r>
            <w:r w:rsidRPr="00B60172">
              <w:tab/>
              <w:t>Identify major stages in winemaking</w:t>
            </w:r>
          </w:p>
        </w:tc>
        <w:tc>
          <w:tcPr>
            <w:tcW w:w="6762" w:type="dxa"/>
            <w:tcBorders>
              <w:top w:val="nil"/>
              <w:left w:val="nil"/>
              <w:bottom w:val="nil"/>
              <w:right w:val="nil"/>
            </w:tcBorders>
            <w:tcMar>
              <w:top w:w="0" w:type="dxa"/>
              <w:left w:w="62" w:type="dxa"/>
              <w:bottom w:w="0" w:type="dxa"/>
              <w:right w:w="62" w:type="dxa"/>
            </w:tcMar>
          </w:tcPr>
          <w:p w:rsidR="00000000" w:rsidRPr="00B60172" w:rsidP="00B60172">
            <w:pPr>
              <w:pStyle w:val="List"/>
            </w:pPr>
            <w:r w:rsidRPr="00B60172">
              <w:t>1.1</w:t>
            </w:r>
            <w:r w:rsidRPr="00B60172">
              <w:tab/>
              <w:t>Key activities in preparation of grapes for wine production are identified</w:t>
            </w:r>
          </w:p>
          <w:p w:rsidR="00000000" w:rsidRPr="00B60172" w:rsidP="00B60172">
            <w:pPr>
              <w:pStyle w:val="List"/>
            </w:pPr>
            <w:r w:rsidRPr="00B60172">
              <w:t>1.2</w:t>
            </w:r>
            <w:r w:rsidRPr="00B60172">
              <w:tab/>
            </w:r>
            <w:r w:rsidRPr="00B60172">
              <w:t>Purpose and process of crushing, pressing, fermentation, maturation, fining, filtering, bottling and packaging are explained</w:t>
            </w:r>
          </w:p>
          <w:p w:rsidR="00000000" w:rsidRPr="00B60172" w:rsidP="00B60172">
            <w:pPr>
              <w:pStyle w:val="List"/>
            </w:pPr>
            <w:r w:rsidRPr="00B60172">
              <w:t>1.3</w:t>
            </w:r>
            <w:r w:rsidRPr="00B60172">
              <w:tab/>
              <w:t>Sequence of operations and key equipment used are correctly identified</w:t>
            </w:r>
          </w:p>
          <w:p w:rsidR="00000000" w:rsidRPr="00B60172" w:rsidP="00B60172">
            <w:pPr>
              <w:pStyle w:val="List"/>
            </w:pPr>
            <w:r w:rsidRPr="00B60172">
              <w:t>1.4</w:t>
            </w:r>
            <w:r w:rsidRPr="00B60172">
              <w:tab/>
              <w:t xml:space="preserve">Basic differences between red, white, fortified and </w:t>
            </w:r>
            <w:r w:rsidRPr="00B60172">
              <w:t>sparkling wine processing are identified</w:t>
            </w:r>
          </w:p>
          <w:p w:rsidR="00000000" w:rsidP="00B60172">
            <w:pPr>
              <w:pStyle w:val="List"/>
              <w:rPr>
                <w:lang w:val="en-NZ"/>
              </w:rPr>
            </w:pPr>
            <w:r w:rsidRPr="00B60172">
              <w:t>1.5</w:t>
            </w:r>
            <w:r w:rsidRPr="00B60172">
              <w:tab/>
              <w:t>Industry terminology is used to describe wine processing activity and wine features</w:t>
            </w:r>
          </w:p>
        </w:tc>
      </w:tr>
      <w:tr w:rsidTr="00B6017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0172">
            <w:pPr>
              <w:pStyle w:val="List"/>
              <w:rPr>
                <w:lang w:val="en-NZ"/>
              </w:rPr>
            </w:pPr>
            <w:r w:rsidRPr="00B60172">
              <w:t>2.</w:t>
            </w:r>
            <w:r w:rsidRPr="00B60172">
              <w:tab/>
              <w:t>Identify wine sales and marketing strategies and processes</w:t>
            </w:r>
          </w:p>
        </w:tc>
        <w:tc>
          <w:tcPr>
            <w:tcW w:w="6762" w:type="dxa"/>
            <w:tcBorders>
              <w:top w:val="nil"/>
              <w:left w:val="nil"/>
              <w:bottom w:val="nil"/>
              <w:right w:val="nil"/>
            </w:tcBorders>
            <w:tcMar>
              <w:top w:w="0" w:type="dxa"/>
              <w:left w:w="62" w:type="dxa"/>
              <w:bottom w:w="0" w:type="dxa"/>
              <w:right w:w="62" w:type="dxa"/>
            </w:tcMar>
          </w:tcPr>
          <w:p w:rsidR="00000000" w:rsidRPr="00B60172" w:rsidP="00B60172">
            <w:pPr>
              <w:pStyle w:val="List"/>
            </w:pPr>
            <w:r w:rsidRPr="00B60172">
              <w:t>2.1</w:t>
            </w:r>
            <w:r w:rsidRPr="00B60172">
              <w:tab/>
              <w:t>Standard forms of wine packaging and labelling are identifie</w:t>
            </w:r>
            <w:r w:rsidRPr="00B60172">
              <w:t>d</w:t>
            </w:r>
          </w:p>
          <w:p w:rsidR="00000000" w:rsidRPr="00B60172" w:rsidP="00B60172">
            <w:pPr>
              <w:pStyle w:val="List"/>
            </w:pPr>
            <w:r w:rsidRPr="00B60172">
              <w:t>2.2</w:t>
            </w:r>
            <w:r w:rsidRPr="00B60172">
              <w:tab/>
              <w:t>Range and purpose of labelling information are identified</w:t>
            </w:r>
          </w:p>
          <w:p w:rsidR="00000000" w:rsidRPr="00B60172" w:rsidP="00B60172">
            <w:pPr>
              <w:pStyle w:val="List"/>
            </w:pPr>
            <w:r w:rsidRPr="00B60172">
              <w:t>2.3</w:t>
            </w:r>
            <w:r w:rsidRPr="00B60172">
              <w:tab/>
              <w:t>Scope and purpose of different types of cellar door operations are identified</w:t>
            </w:r>
          </w:p>
          <w:p w:rsidR="00000000" w:rsidRPr="00B60172" w:rsidP="00B60172">
            <w:pPr>
              <w:pStyle w:val="List"/>
            </w:pPr>
            <w:r w:rsidRPr="00B60172">
              <w:t>2.4</w:t>
            </w:r>
            <w:r w:rsidRPr="00B60172">
              <w:tab/>
              <w:t>Major wine regions and wine types and styles in Australia are identified</w:t>
            </w:r>
          </w:p>
          <w:p w:rsidR="00000000" w:rsidRPr="00B60172" w:rsidP="00B60172">
            <w:pPr>
              <w:pStyle w:val="List"/>
            </w:pPr>
            <w:r w:rsidRPr="00B60172">
              <w:t>2.5</w:t>
            </w:r>
            <w:r w:rsidRPr="00B60172">
              <w:tab/>
              <w:t>Key features and market expec</w:t>
            </w:r>
            <w:r w:rsidRPr="00B60172">
              <w:t>tations of wine from different regions in Australia are described</w:t>
            </w:r>
          </w:p>
          <w:p w:rsidR="00000000" w:rsidRPr="00B60172" w:rsidP="00B60172">
            <w:pPr>
              <w:pStyle w:val="List"/>
            </w:pPr>
            <w:r w:rsidRPr="00B60172">
              <w:t>2.6</w:t>
            </w:r>
            <w:r w:rsidRPr="00B60172">
              <w:tab/>
              <w:t>Difference between domestic and export markets and marketing strategies and requirements are identified</w:t>
            </w:r>
          </w:p>
          <w:p w:rsidR="00000000" w:rsidRPr="00B60172" w:rsidP="00B60172">
            <w:pPr>
              <w:pStyle w:val="List"/>
            </w:pPr>
            <w:r w:rsidRPr="00B60172">
              <w:t>2.7</w:t>
            </w:r>
            <w:r w:rsidRPr="00B60172">
              <w:tab/>
              <w:t>Standard expert and consumer wine evaluation techniques and features are ident</w:t>
            </w:r>
            <w:r w:rsidRPr="00B60172">
              <w:t>ified, including shows, reviews and tasting notes</w:t>
            </w:r>
          </w:p>
        </w:tc>
      </w:tr>
    </w:tbl>
    <w:p w:rsidR="00000000" w:rsidRPr="00B60172" w:rsidP="00B60172">
      <w:pPr>
        <w:pStyle w:val="BodyText"/>
      </w:pPr>
    </w:p>
    <w:p w:rsidR="00000000" w:rsidRPr="00B60172" w:rsidP="00B60172">
      <w:pPr>
        <w:pStyle w:val="AllowPageBreak"/>
      </w:pPr>
    </w:p>
    <w:p w:rsidR="00000000" w:rsidRPr="00B60172" w:rsidP="00B60172">
      <w:pPr>
        <w:pStyle w:val="Heading1"/>
      </w:pPr>
      <w:bookmarkStart w:id="9" w:name="O_446782"/>
      <w:bookmarkEnd w:id="9"/>
      <w:r w:rsidRPr="00B60172">
        <w:t>Required Skills and Knowledge</w:t>
      </w:r>
    </w:p>
    <w:tbl>
      <w:tblPr>
        <w:tblW w:w="9462" w:type="dxa"/>
        <w:tblLayout w:type="fixed"/>
        <w:tblCellMar>
          <w:left w:w="62" w:type="dxa"/>
          <w:right w:w="62" w:type="dxa"/>
        </w:tblCellMar>
        <w:tblLook w:val="0000"/>
      </w:tblPr>
      <w:tblGrid>
        <w:gridCol w:w="9462"/>
      </w:tblGrid>
      <w:tr w:rsidTr="00B6017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0172">
            <w:pPr>
              <w:pStyle w:val="BodyText"/>
              <w:rPr>
                <w:lang w:val="en-NZ"/>
              </w:rPr>
            </w:pPr>
            <w:r w:rsidRPr="00B60172">
              <w:t>This section describes the skills and knowledge required for this unit.</w:t>
            </w:r>
          </w:p>
        </w:tc>
      </w:tr>
      <w:tr w:rsidTr="00B6017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0172">
            <w:pPr>
              <w:pStyle w:val="TableHeading"/>
            </w:pPr>
            <w:r w:rsidRPr="00B60172">
              <w:t>Required skills include:</w:t>
            </w:r>
          </w:p>
        </w:tc>
      </w:tr>
      <w:tr w:rsidTr="00B6017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60172" w:rsidP="00B60172">
            <w:pPr>
              <w:pStyle w:val="BodyText"/>
            </w:pPr>
            <w:r w:rsidRPr="00B60172">
              <w:t>Note: The following required skills should be applied as</w:t>
            </w:r>
            <w:r w:rsidRPr="00B60172">
              <w:t xml:space="preserve"> appropriate to the equipment and processes that are used in the particular winery or workplace.   </w:t>
            </w:r>
          </w:p>
          <w:p w:rsidR="00000000" w:rsidRPr="00B60172" w:rsidP="00B60172">
            <w:pPr>
              <w:pStyle w:val="BodyText"/>
            </w:pPr>
            <w:r w:rsidRPr="00B60172">
              <w:rPr>
                <w:rStyle w:val="SpecialBold"/>
              </w:rPr>
              <w:t>Ability to:</w:t>
            </w:r>
          </w:p>
          <w:p w:rsidR="00000000" w:rsidRPr="00B60172" w:rsidP="00B60172">
            <w:pPr>
              <w:pStyle w:val="ListBullet"/>
            </w:pPr>
            <w:r w:rsidRPr="00B60172">
              <w:t>understand the correct sequence of wine production stages</w:t>
            </w:r>
          </w:p>
          <w:p w:rsidR="00000000" w:rsidRPr="00B60172" w:rsidP="00B60172">
            <w:pPr>
              <w:pStyle w:val="ListBullet"/>
            </w:pPr>
            <w:r w:rsidRPr="00B60172">
              <w:t xml:space="preserve">identify types and purpose of fermentation processes </w:t>
            </w:r>
          </w:p>
          <w:p w:rsidR="00000000" w:rsidRPr="00B60172" w:rsidP="00B60172">
            <w:pPr>
              <w:pStyle w:val="ListBullet"/>
            </w:pPr>
            <w:r w:rsidRPr="00B60172">
              <w:t>identify equipment used in wi</w:t>
            </w:r>
            <w:r w:rsidRPr="00B60172">
              <w:t>ne processing and storage</w:t>
            </w:r>
          </w:p>
          <w:p w:rsidR="00000000" w:rsidRPr="00B60172" w:rsidP="00B60172">
            <w:pPr>
              <w:pStyle w:val="ListBullet"/>
            </w:pPr>
            <w:r w:rsidRPr="00B60172">
              <w:t>identify typical bottling, labelling and packaging of wine</w:t>
            </w:r>
          </w:p>
          <w:p w:rsidR="00000000" w:rsidP="00B60172">
            <w:pPr>
              <w:pStyle w:val="ListBullet"/>
              <w:rPr>
                <w:lang w:val="en-NZ"/>
              </w:rPr>
            </w:pPr>
            <w:r w:rsidRPr="00B60172">
              <w:t>understand common marketing arrangements and advantages and disadvantages of each, including cellar door sales, mail order, internet marketing, and distribution through ag</w:t>
            </w:r>
            <w:r w:rsidRPr="00B60172">
              <w:t>ents and wholesalers</w:t>
            </w:r>
          </w:p>
        </w:tc>
      </w:tr>
      <w:tr w:rsidTr="00B6017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0172">
            <w:pPr>
              <w:pStyle w:val="BodyText"/>
              <w:rPr>
                <w:lang w:val="en-NZ"/>
              </w:rPr>
            </w:pPr>
            <w:r w:rsidRPr="00B60172">
              <w:t>Required knowledge</w:t>
            </w:r>
          </w:p>
        </w:tc>
      </w:tr>
      <w:tr w:rsidTr="00B6017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60172" w:rsidP="00B60172">
            <w:pPr>
              <w:pStyle w:val="BodyText"/>
            </w:pPr>
            <w:r w:rsidRPr="00B60172">
              <w:t>Note: The following required knowledge should be applied as appropriate to the equipment and processes that are used in the particular winery or workplace.</w:t>
            </w:r>
          </w:p>
          <w:p w:rsidR="00000000" w:rsidRPr="00B60172" w:rsidP="00B60172">
            <w:pPr>
              <w:pStyle w:val="BodyText"/>
            </w:pPr>
            <w:r w:rsidRPr="00B60172">
              <w:rPr>
                <w:rStyle w:val="SpecialBold"/>
              </w:rPr>
              <w:t>Knowledge of:</w:t>
            </w:r>
          </w:p>
          <w:p w:rsidR="00000000" w:rsidRPr="00B60172" w:rsidP="00B60172">
            <w:pPr>
              <w:pStyle w:val="ListBullet"/>
            </w:pPr>
            <w:r w:rsidRPr="00B60172">
              <w:t>main stages of wine production and equipmen</w:t>
            </w:r>
            <w:r w:rsidRPr="00B60172">
              <w:t>t used</w:t>
            </w:r>
          </w:p>
          <w:p w:rsidR="00000000" w:rsidRPr="00B60172" w:rsidP="00B60172">
            <w:pPr>
              <w:pStyle w:val="ListBullet"/>
            </w:pPr>
            <w:r w:rsidRPr="00B60172">
              <w:t>common bottling, labelling and packaging used for wine</w:t>
            </w:r>
          </w:p>
          <w:p w:rsidR="00000000" w:rsidRPr="00B60172" w:rsidP="00B60172">
            <w:pPr>
              <w:pStyle w:val="ListBullet"/>
            </w:pPr>
            <w:r w:rsidRPr="00B60172">
              <w:t>nature of Australian wine market, including domestic retail, and direct selling and export markets</w:t>
            </w:r>
          </w:p>
          <w:p w:rsidR="00000000" w:rsidRPr="00B60172" w:rsidP="00B60172">
            <w:pPr>
              <w:pStyle w:val="ListBullet"/>
            </w:pPr>
            <w:r w:rsidRPr="00B60172">
              <w:t>wine industry terminology.</w:t>
            </w:r>
          </w:p>
        </w:tc>
      </w:tr>
    </w:tbl>
    <w:p w:rsidR="00000000" w:rsidRPr="00B60172" w:rsidP="00B60172">
      <w:pPr>
        <w:pStyle w:val="BodyText"/>
      </w:pPr>
    </w:p>
    <w:p w:rsidR="00000000" w:rsidRPr="00B60172" w:rsidP="00B60172">
      <w:pPr>
        <w:pStyle w:val="AllowPageBreak"/>
      </w:pPr>
    </w:p>
    <w:p w:rsidR="00000000" w:rsidRPr="00B60172" w:rsidP="00B60172">
      <w:pPr>
        <w:pStyle w:val="Heading1"/>
      </w:pPr>
      <w:bookmarkStart w:id="10" w:name="O_446788"/>
      <w:bookmarkEnd w:id="10"/>
      <w:r w:rsidRPr="00B60172">
        <w:t>Evidence Guide</w:t>
      </w:r>
    </w:p>
    <w:tbl>
      <w:tblPr>
        <w:tblW w:w="9462" w:type="dxa"/>
        <w:tblLayout w:type="fixed"/>
        <w:tblCellMar>
          <w:left w:w="62" w:type="dxa"/>
          <w:right w:w="62" w:type="dxa"/>
        </w:tblCellMar>
        <w:tblLook w:val="0000"/>
      </w:tblPr>
      <w:tblGrid>
        <w:gridCol w:w="3800"/>
        <w:gridCol w:w="5662"/>
      </w:tblGrid>
      <w:tr w:rsidTr="00B6017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172">
            <w:pPr>
              <w:pStyle w:val="TableHeading"/>
            </w:pPr>
            <w:r w:rsidRPr="00B60172">
              <w:t>EVIDENCE GUIDE</w:t>
            </w:r>
          </w:p>
        </w:tc>
      </w:tr>
      <w:tr w:rsidTr="00B6017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The evidence guide provides advice on assessment and must be read in conjunction with the performance criteria, required skills and knowledge, range statement and the Assessment Guidelines for the Training Package.</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 xml:space="preserve">Assessment must </w:t>
            </w:r>
            <w:r w:rsidRPr="00B60172">
              <w:t xml:space="preserve">be carried out in a manner that recognises the cultural and literacy requirements of the assessee and is appropriate to the work performed. </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Evidence of the ability to:</w:t>
            </w:r>
          </w:p>
          <w:p w:rsidR="00000000" w:rsidRPr="00B60172" w:rsidP="00B60172">
            <w:pPr>
              <w:pStyle w:val="ListBullet"/>
            </w:pPr>
            <w:r w:rsidRPr="00B60172">
              <w:t xml:space="preserve">describe major Australian wine regions, common wine styles and grape varieties and their characteristics </w:t>
            </w:r>
          </w:p>
          <w:p w:rsidR="00000000" w:rsidRPr="00B60172" w:rsidP="00B60172">
            <w:pPr>
              <w:pStyle w:val="ListBullet"/>
            </w:pPr>
            <w:r w:rsidRPr="00B60172">
              <w:t xml:space="preserve">identify main features of domestic and export markets </w:t>
            </w:r>
          </w:p>
          <w:p w:rsidR="00000000" w:rsidRPr="00B60172" w:rsidP="00B60172">
            <w:pPr>
              <w:pStyle w:val="ListBullet"/>
            </w:pPr>
            <w:r w:rsidRPr="00B60172">
              <w:t xml:space="preserve">identify main production operation and sequence of operations for </w:t>
            </w:r>
            <w:r w:rsidRPr="00B60172">
              <w:t xml:space="preserve">different wine types </w:t>
            </w:r>
          </w:p>
          <w:p w:rsidR="00000000" w:rsidRPr="00B60172" w:rsidP="00B60172">
            <w:pPr>
              <w:pStyle w:val="ListBullet"/>
            </w:pPr>
            <w:r w:rsidRPr="00B60172">
              <w:t xml:space="preserve">identify wine products and common marketing techniques used </w:t>
            </w:r>
          </w:p>
          <w:p w:rsidR="00000000" w:rsidP="00B60172">
            <w:pPr>
              <w:pStyle w:val="ListBullet"/>
              <w:rPr>
                <w:lang w:val="en-NZ"/>
              </w:rPr>
            </w:pPr>
            <w:r w:rsidRPr="00B60172">
              <w:t>use wine industry terminology to communicate features and information about wine production.</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Assessment may occur in a real</w:t>
            </w:r>
            <w:r w:rsidRPr="00B60172">
              <w:t xml:space="preserve"> or a simulated workplace where the assessee has access to:</w:t>
            </w:r>
          </w:p>
          <w:p w:rsidR="00000000" w:rsidRPr="00B60172" w:rsidP="00B60172">
            <w:pPr>
              <w:pStyle w:val="ListBullet"/>
            </w:pPr>
            <w:r w:rsidRPr="00B60172">
              <w:t>personal protective clothing and equipment as required</w:t>
            </w:r>
          </w:p>
          <w:p w:rsidR="00000000" w:rsidRPr="00B60172" w:rsidP="00B60172">
            <w:pPr>
              <w:pStyle w:val="ListBullet"/>
            </w:pPr>
            <w:r w:rsidRPr="00B60172">
              <w:t>work procedures, including advice on relevant company practices, safe work practices, food safety, quality and environmental requirements</w:t>
            </w:r>
          </w:p>
          <w:p w:rsidR="00000000" w:rsidRPr="00B60172" w:rsidP="00B60172">
            <w:pPr>
              <w:pStyle w:val="ListBullet"/>
            </w:pPr>
            <w:r w:rsidRPr="00B60172">
              <w:t>in</w:t>
            </w:r>
            <w:r w:rsidRPr="00B60172">
              <w:t>structions, information, specifications and schedules as required</w:t>
            </w:r>
          </w:p>
          <w:p w:rsidR="00000000" w:rsidRPr="00B60172" w:rsidP="00B60172">
            <w:pPr>
              <w:pStyle w:val="ListBullet"/>
            </w:pPr>
            <w:r w:rsidRPr="00B60172">
              <w:t>equipment, services and corresponding information as required</w:t>
            </w:r>
          </w:p>
          <w:p w:rsidR="00000000" w:rsidRPr="00B60172" w:rsidP="00B60172">
            <w:pPr>
              <w:pStyle w:val="ListBullet"/>
            </w:pPr>
            <w:r w:rsidRPr="00B60172">
              <w:t>products and materials as required</w:t>
            </w:r>
          </w:p>
          <w:p w:rsidR="00000000" w:rsidP="00B60172">
            <w:pPr>
              <w:pStyle w:val="ListBullet"/>
              <w:rPr>
                <w:lang w:val="en-NZ"/>
              </w:rPr>
            </w:pPr>
            <w:r w:rsidRPr="00B60172">
              <w:t>documentation and recording requirements and procedures.</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This unit should be assessed together with other units of competency relevant to the function or work role.</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 xml:space="preserve">To ensure consistency in one's performance, competence should be demonstrated on more than one occasion over a </w:t>
            </w:r>
            <w:r w:rsidRPr="00B60172">
              <w:t>period of time in order to cover a variety of circumstances, cases and responsibilities, and where possible, over a number of assessment activities.</w:t>
            </w:r>
          </w:p>
        </w:tc>
      </w:tr>
    </w:tbl>
    <w:p w:rsidR="002465BE" w:rsidP="00B60172">
      <w:pPr>
        <w:pStyle w:val="BodyText"/>
      </w:pPr>
    </w:p>
    <w:p w:rsidR="002465BE" w:rsidP="00B60172">
      <w:pPr>
        <w:pStyle w:val="BodyText"/>
      </w:pPr>
    </w:p>
    <w:p w:rsidR="00000000" w:rsidRPr="00B60172" w:rsidP="00B60172">
      <w:pPr>
        <w:pStyle w:val="Heading1"/>
      </w:pPr>
      <w:bookmarkStart w:id="11" w:name="O_446783"/>
      <w:bookmarkEnd w:id="11"/>
      <w:r w:rsidRPr="00B60172">
        <w:t>Range Statement</w:t>
      </w:r>
    </w:p>
    <w:tbl>
      <w:tblPr>
        <w:tblW w:w="9462" w:type="dxa"/>
        <w:tblLayout w:type="fixed"/>
        <w:tblCellMar>
          <w:left w:w="62" w:type="dxa"/>
          <w:right w:w="62" w:type="dxa"/>
        </w:tblCellMar>
        <w:tblLook w:val="0000"/>
      </w:tblPr>
      <w:tblGrid>
        <w:gridCol w:w="3800"/>
        <w:gridCol w:w="5662"/>
      </w:tblGrid>
      <w:tr w:rsidTr="00B6017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172">
            <w:pPr>
              <w:pStyle w:val="TableHeading"/>
            </w:pPr>
            <w:r w:rsidRPr="00B60172">
              <w:t>RANGE STATEMENT</w:t>
            </w:r>
          </w:p>
        </w:tc>
      </w:tr>
      <w:tr w:rsidTr="00B6017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t>The range statement relates to the unit of competency as a whole. It allows for different work environments and situations that may affect performance. Bold italicised wording, if used in the performance criteria, is detailed below. Essential operating con</w:t>
            </w:r>
            <w:r w:rsidRPr="00B60172">
              <w:t>ditions that may be present with training and assessment (depending on the work situation, needs of the candidate, accessibility of the item, and local industry and regional contexts) may also be included.</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rPr>
                <w:rStyle w:val="SpecialBold"/>
              </w:rPr>
              <w:t>Wine related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 xml:space="preserve">Wine related products may </w:t>
            </w:r>
            <w:r w:rsidRPr="00B60172">
              <w:t>include:</w:t>
            </w:r>
          </w:p>
          <w:p w:rsidR="00000000" w:rsidRPr="00B60172" w:rsidP="00B60172">
            <w:pPr>
              <w:pStyle w:val="ListBullet"/>
            </w:pPr>
            <w:r w:rsidRPr="00B60172">
              <w:t>grapes or grape products, wine (all types and styles)</w:t>
            </w:r>
          </w:p>
          <w:p w:rsidR="00000000" w:rsidRPr="00B60172" w:rsidP="00B60172">
            <w:pPr>
              <w:pStyle w:val="ListBullet"/>
            </w:pPr>
            <w:r w:rsidRPr="00B60172">
              <w:t>fortifying spirits</w:t>
            </w:r>
          </w:p>
          <w:p w:rsidR="00000000" w:rsidRPr="00B60172" w:rsidP="00B60172">
            <w:pPr>
              <w:pStyle w:val="ListBullet"/>
            </w:pPr>
            <w:r w:rsidRPr="00B60172">
              <w:t>promotional merchandise,</w:t>
            </w:r>
          </w:p>
          <w:p w:rsidR="00000000" w:rsidP="00B60172">
            <w:pPr>
              <w:pStyle w:val="ListBullet"/>
              <w:rPr>
                <w:lang w:val="en-NZ"/>
              </w:rPr>
            </w:pPr>
            <w:r w:rsidRPr="00B60172">
              <w:t>wine industry supplies (e.g. bottles, stoppers and casks) and services (e.g. personnel, expertise and analysis)</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rPr>
                <w:rStyle w:val="SpecialBold"/>
              </w:rPr>
              <w:t>Wine types and styles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Wine types and styles include:</w:t>
            </w:r>
          </w:p>
          <w:p w:rsidR="00000000" w:rsidP="00B60172">
            <w:pPr>
              <w:pStyle w:val="ListBullet"/>
              <w:rPr>
                <w:lang w:val="en-NZ"/>
              </w:rPr>
            </w:pPr>
            <w:r w:rsidRPr="00B60172">
              <w:t>red, white, fortified and sparkling wine and typical variations in quality and flavour caused by ageing and processing techniques</w:t>
            </w:r>
          </w:p>
        </w:tc>
      </w:tr>
      <w:tr w:rsidTr="00B6017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BodyText"/>
              <w:rPr>
                <w:lang w:val="en-NZ"/>
              </w:rPr>
            </w:pPr>
            <w:r w:rsidRPr="00B60172">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Equipment may include:</w:t>
            </w:r>
          </w:p>
          <w:p w:rsidR="00000000" w:rsidRPr="00B60172" w:rsidP="00B60172">
            <w:pPr>
              <w:pStyle w:val="ListBullet"/>
            </w:pPr>
            <w:r w:rsidRPr="00B60172">
              <w:t>tanks</w:t>
            </w:r>
          </w:p>
          <w:p w:rsidR="00000000" w:rsidRPr="00B60172" w:rsidP="00B60172">
            <w:pPr>
              <w:pStyle w:val="ListBullet"/>
            </w:pPr>
            <w:r w:rsidRPr="00B60172">
              <w:t>transfer equipment</w:t>
            </w:r>
          </w:p>
          <w:p w:rsidR="00000000" w:rsidRPr="00B60172" w:rsidP="00B60172">
            <w:pPr>
              <w:pStyle w:val="ListBullet"/>
            </w:pPr>
            <w:r w:rsidRPr="00B60172">
              <w:t>filtration equipment</w:t>
            </w:r>
          </w:p>
          <w:p w:rsidR="00000000" w:rsidRPr="00B60172" w:rsidP="00B60172">
            <w:pPr>
              <w:pStyle w:val="ListBullet"/>
            </w:pPr>
            <w:r w:rsidRPr="00B60172">
              <w:t>crushing and</w:t>
            </w:r>
            <w:r w:rsidRPr="00B60172">
              <w:t xml:space="preserve"> pressing equipment</w:t>
            </w:r>
          </w:p>
          <w:p w:rsidR="00000000" w:rsidRPr="00B60172" w:rsidP="00B60172">
            <w:pPr>
              <w:pStyle w:val="ListBullet"/>
            </w:pPr>
            <w:r w:rsidRPr="00B60172">
              <w:t>fermentation vessels</w:t>
            </w:r>
          </w:p>
          <w:p w:rsidR="00000000" w:rsidRPr="00B60172" w:rsidP="00B60172">
            <w:pPr>
              <w:pStyle w:val="ListBullet"/>
            </w:pPr>
            <w:r w:rsidRPr="00B60172">
              <w:t>stills and retorts</w:t>
            </w:r>
          </w:p>
          <w:p w:rsidR="00000000" w:rsidRPr="00B60172" w:rsidP="00B60172">
            <w:pPr>
              <w:pStyle w:val="ListBullet"/>
            </w:pPr>
            <w:r w:rsidRPr="00B60172">
              <w:t>separators</w:t>
            </w:r>
          </w:p>
          <w:p w:rsidR="00000000" w:rsidRPr="00B60172" w:rsidP="00B60172">
            <w:pPr>
              <w:pStyle w:val="ListBullet"/>
            </w:pPr>
            <w:r w:rsidRPr="00B60172">
              <w:t>barrels</w:t>
            </w:r>
          </w:p>
          <w:p w:rsidR="00000000" w:rsidRPr="00B60172" w:rsidP="00B60172">
            <w:pPr>
              <w:pStyle w:val="ListBullet"/>
            </w:pPr>
            <w:r w:rsidRPr="00B60172">
              <w:t>process control equipment</w:t>
            </w:r>
          </w:p>
          <w:p w:rsidR="00000000" w:rsidRPr="00B60172" w:rsidP="00B60172">
            <w:pPr>
              <w:pStyle w:val="ListBullet"/>
            </w:pPr>
            <w:r w:rsidRPr="00B60172">
              <w:t>IT equipment</w:t>
            </w:r>
          </w:p>
          <w:p w:rsidR="00000000" w:rsidRPr="00B60172" w:rsidP="00B60172">
            <w:pPr>
              <w:pStyle w:val="ListBullet"/>
            </w:pPr>
            <w:r w:rsidRPr="00B60172">
              <w:t xml:space="preserve">bottling and packaging equipment </w:t>
            </w:r>
          </w:p>
        </w:tc>
      </w:tr>
    </w:tbl>
    <w:p w:rsidR="00000000" w:rsidRPr="00B60172" w:rsidP="00B60172">
      <w:pPr>
        <w:pStyle w:val="BodyText"/>
      </w:pPr>
    </w:p>
    <w:p w:rsidR="00000000" w:rsidRPr="00B60172" w:rsidP="00B60172">
      <w:pPr>
        <w:pStyle w:val="AllowPageBreak"/>
      </w:pPr>
    </w:p>
    <w:p w:rsidR="00000000" w:rsidRPr="00B60172" w:rsidP="00B60172">
      <w:pPr>
        <w:pStyle w:val="Heading1"/>
      </w:pPr>
      <w:bookmarkStart w:id="12" w:name="O_446780"/>
      <w:bookmarkEnd w:id="12"/>
      <w:r w:rsidRPr="00B60172">
        <w:t>Unit Sector(s)</w:t>
      </w:r>
    </w:p>
    <w:tbl>
      <w:tblPr>
        <w:tblW w:w="9462" w:type="dxa"/>
        <w:tblLayout w:type="fixed"/>
        <w:tblCellMar>
          <w:left w:w="62" w:type="dxa"/>
          <w:right w:w="62" w:type="dxa"/>
        </w:tblCellMar>
        <w:tblLook w:val="0000"/>
      </w:tblPr>
      <w:tblGrid>
        <w:gridCol w:w="2700"/>
        <w:gridCol w:w="6762"/>
      </w:tblGrid>
      <w:tr w:rsidTr="00B601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72">
            <w:pPr>
              <w:pStyle w:val="Heading4"/>
            </w:pPr>
            <w:r w:rsidRPr="00B60172">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72" w:rsidP="00B60172">
            <w:pPr>
              <w:pStyle w:val="BodyText"/>
            </w:pPr>
            <w:r w:rsidRPr="00B60172">
              <w:t>Wine operations</w:t>
            </w:r>
          </w:p>
        </w:tc>
      </w:tr>
    </w:tbl>
    <w:p w:rsidR="002465BE" w:rsidP="00B60172">
      <w:pPr>
        <w:pStyle w:val="BodyText"/>
      </w:pPr>
    </w:p>
    <w:p w:rsidR="002465BE" w:rsidP="00B60172">
      <w:pPr>
        <w:pStyle w:val="BodyText"/>
      </w:pPr>
    </w:p>
    <w:p w:rsidR="00000000" w:rsidRPr="00B60172" w:rsidP="00B60172"/>
    <w:sectPr w:rsidSect="00B601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5BE" w:rsidP="00246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BE" w:rsidP="00B60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65BE" w:rsidP="00B601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465BE" w:rsidP="00B601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5BE" w:rsidP="002465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BE" w:rsidP="00B60172">
    <w:pPr>
      <w:pStyle w:val="Header"/>
      <w:framePr w:wrap="around"/>
    </w:pPr>
    <w:r>
      <w:fldChar w:fldCharType="begin"/>
    </w:r>
    <w:r>
      <w:instrText xml:space="preserve"> TITLE   \* MERGEFORMAT </w:instrText>
    </w:r>
    <w:r>
      <w:fldChar w:fldCharType="separate"/>
    </w:r>
    <w:r>
      <w:t>FDFWIN1001A Identify key operations in wine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5BE" w:rsidP="00B601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C4D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7E1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1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0172"/>
    <w:pPr>
      <w:spacing w:before="360" w:after="60"/>
      <w:outlineLvl w:val="0"/>
    </w:pPr>
    <w:rPr>
      <w:sz w:val="32"/>
    </w:rPr>
  </w:style>
  <w:style w:type="paragraph" w:styleId="Heading2">
    <w:name w:val="heading 2"/>
    <w:basedOn w:val="HeadingBase"/>
    <w:next w:val="BodyText"/>
    <w:link w:val="Heading2Char"/>
    <w:qFormat/>
    <w:rsid w:val="00B60172"/>
    <w:pPr>
      <w:keepLines/>
      <w:spacing w:before="240" w:after="120"/>
      <w:outlineLvl w:val="1"/>
    </w:pPr>
    <w:rPr>
      <w:sz w:val="28"/>
      <w:szCs w:val="40"/>
    </w:rPr>
  </w:style>
  <w:style w:type="paragraph" w:styleId="Heading3">
    <w:name w:val="heading 3"/>
    <w:basedOn w:val="HeadingBase"/>
    <w:next w:val="BodyText"/>
    <w:link w:val="Heading3Char"/>
    <w:qFormat/>
    <w:rsid w:val="00B60172"/>
    <w:pPr>
      <w:spacing w:before="180" w:after="120"/>
      <w:outlineLvl w:val="2"/>
    </w:pPr>
    <w:rPr>
      <w:spacing w:val="-10"/>
      <w:kern w:val="32"/>
    </w:rPr>
  </w:style>
  <w:style w:type="paragraph" w:styleId="Heading4">
    <w:name w:val="heading 4"/>
    <w:basedOn w:val="HeadingBase"/>
    <w:next w:val="BodyText"/>
    <w:link w:val="Heading4Char"/>
    <w:qFormat/>
    <w:rsid w:val="00B60172"/>
    <w:pPr>
      <w:spacing w:before="160" w:after="120"/>
      <w:outlineLvl w:val="3"/>
    </w:pPr>
    <w:rPr>
      <w:sz w:val="22"/>
    </w:rPr>
  </w:style>
  <w:style w:type="paragraph" w:styleId="Heading5">
    <w:name w:val="heading 5"/>
    <w:basedOn w:val="HeadingBase"/>
    <w:next w:val="Normal"/>
    <w:link w:val="Heading5Char"/>
    <w:qFormat/>
    <w:rsid w:val="00B60172"/>
    <w:pPr>
      <w:spacing w:before="80"/>
      <w:outlineLvl w:val="4"/>
    </w:pPr>
    <w:rPr>
      <w:color w:val="918585"/>
      <w:sz w:val="20"/>
    </w:rPr>
  </w:style>
  <w:style w:type="paragraph" w:styleId="Heading6">
    <w:name w:val="heading 6"/>
    <w:basedOn w:val="HeadingBase"/>
    <w:next w:val="Normal"/>
    <w:link w:val="Heading6Char"/>
    <w:qFormat/>
    <w:rsid w:val="00B60172"/>
    <w:pPr>
      <w:spacing w:before="60"/>
      <w:outlineLvl w:val="5"/>
    </w:pPr>
    <w:rPr>
      <w:color w:val="918585"/>
      <w:sz w:val="20"/>
    </w:rPr>
  </w:style>
  <w:style w:type="paragraph" w:styleId="Heading7">
    <w:name w:val="heading 7"/>
    <w:basedOn w:val="Normal"/>
    <w:next w:val="Normal"/>
    <w:link w:val="Heading7Char"/>
    <w:qFormat/>
    <w:rsid w:val="00B60172"/>
    <w:pPr>
      <w:ind w:left="720"/>
      <w:outlineLvl w:val="6"/>
    </w:pPr>
    <w:rPr>
      <w:i/>
    </w:rPr>
  </w:style>
  <w:style w:type="paragraph" w:styleId="Heading8">
    <w:name w:val="heading 8"/>
    <w:basedOn w:val="Normal"/>
    <w:next w:val="Normal"/>
    <w:link w:val="Heading8Char"/>
    <w:qFormat/>
    <w:rsid w:val="00B60172"/>
    <w:pPr>
      <w:ind w:left="720"/>
      <w:outlineLvl w:val="7"/>
    </w:pPr>
    <w:rPr>
      <w:i/>
    </w:rPr>
  </w:style>
  <w:style w:type="paragraph" w:styleId="Heading9">
    <w:name w:val="heading 9"/>
    <w:basedOn w:val="Normal"/>
    <w:next w:val="Normal"/>
    <w:link w:val="Heading9Char"/>
    <w:qFormat/>
    <w:rsid w:val="00B60172"/>
    <w:pPr>
      <w:ind w:left="720"/>
      <w:outlineLvl w:val="8"/>
    </w:pPr>
    <w:rPr>
      <w:i/>
    </w:rPr>
  </w:style>
  <w:style w:type="character" w:default="1" w:styleId="DefaultParagraphFont">
    <w:name w:val="Default Paragraph Font"/>
    <w:uiPriority w:val="1"/>
    <w:unhideWhenUsed/>
    <w:rsid w:val="00B60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172"/>
  </w:style>
  <w:style w:type="character" w:customStyle="1" w:styleId="Heading1Char">
    <w:name w:val="Heading 1 Char"/>
    <w:link w:val="Heading1"/>
    <w:rsid w:val="00B60172"/>
    <w:rPr>
      <w:rFonts w:ascii="Times New Roman" w:eastAsia="Times New Roman" w:hAnsi="Times New Roman" w:cs="Times New Roman"/>
      <w:b/>
      <w:sz w:val="32"/>
      <w:szCs w:val="20"/>
      <w:lang w:eastAsia="en-US"/>
    </w:rPr>
  </w:style>
  <w:style w:type="character" w:customStyle="1" w:styleId="Heading4Char">
    <w:name w:val="Heading 4 Char"/>
    <w:link w:val="Heading4"/>
    <w:rsid w:val="00B60172"/>
    <w:rPr>
      <w:rFonts w:ascii="Times New Roman" w:eastAsia="Times New Roman" w:hAnsi="Times New Roman" w:cs="Times New Roman"/>
      <w:b/>
      <w:szCs w:val="20"/>
      <w:lang w:eastAsia="en-US"/>
    </w:rPr>
  </w:style>
  <w:style w:type="paragraph" w:styleId="BodyText">
    <w:name w:val="Body Text"/>
    <w:basedOn w:val="Normal"/>
    <w:link w:val="BodyTextChar"/>
    <w:rsid w:val="00B60172"/>
    <w:pPr>
      <w:spacing w:before="120" w:after="120"/>
      <w:contextualSpacing/>
    </w:pPr>
    <w:rPr>
      <w:rFonts w:ascii="Times New Roman" w:hAnsi="Times New Roman"/>
      <w:sz w:val="24"/>
      <w:szCs w:val="22"/>
    </w:rPr>
  </w:style>
  <w:style w:type="character" w:customStyle="1" w:styleId="BodyTextChar">
    <w:name w:val="Body Text Char"/>
    <w:link w:val="BodyText"/>
    <w:rsid w:val="00B60172"/>
    <w:rPr>
      <w:rFonts w:ascii="Times New Roman" w:eastAsia="Times New Roman" w:hAnsi="Times New Roman" w:cs="Times New Roman"/>
      <w:sz w:val="24"/>
      <w:lang w:val="en-US" w:eastAsia="en-US"/>
    </w:rPr>
  </w:style>
  <w:style w:type="paragraph" w:styleId="Footer">
    <w:name w:val="footer"/>
    <w:basedOn w:val="Normal"/>
    <w:link w:val="FooterChar"/>
    <w:rsid w:val="00B60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0172"/>
    <w:rPr>
      <w:rFonts w:ascii="Times New Roman" w:eastAsia="Times New Roman" w:hAnsi="Times New Roman" w:cs="Times New Roman"/>
      <w:sz w:val="16"/>
      <w:lang w:val="en-US" w:eastAsia="en-US"/>
    </w:rPr>
  </w:style>
  <w:style w:type="paragraph" w:styleId="List">
    <w:name w:val="List"/>
    <w:basedOn w:val="BodyText"/>
    <w:next w:val="BodyText"/>
    <w:rsid w:val="00B60172"/>
    <w:pPr>
      <w:tabs>
        <w:tab w:val="left" w:pos="340"/>
      </w:tabs>
      <w:spacing w:before="60" w:after="60"/>
      <w:ind w:left="340" w:hanging="340"/>
    </w:pPr>
  </w:style>
  <w:style w:type="paragraph" w:styleId="ListBullet">
    <w:name w:val="List Bullet"/>
    <w:basedOn w:val="List"/>
    <w:rsid w:val="00B60172"/>
    <w:pPr>
      <w:numPr>
        <w:numId w:val="12"/>
      </w:numPr>
      <w:tabs>
        <w:tab w:val="clear" w:pos="340"/>
      </w:tabs>
      <w:spacing w:before="40" w:after="40"/>
    </w:pPr>
  </w:style>
  <w:style w:type="character" w:customStyle="1" w:styleId="SpecialBold">
    <w:name w:val="Special Bold"/>
    <w:rsid w:val="00B60172"/>
    <w:rPr>
      <w:b/>
      <w:spacing w:val="0"/>
    </w:rPr>
  </w:style>
  <w:style w:type="paragraph" w:styleId="Header">
    <w:name w:val="header"/>
    <w:basedOn w:val="Normal"/>
    <w:link w:val="HeaderChar"/>
    <w:rsid w:val="00B60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01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0172"/>
    <w:pPr>
      <w:spacing w:before="240" w:after="120"/>
      <w:outlineLvl w:val="0"/>
    </w:pPr>
    <w:rPr>
      <w:rFonts w:ascii="Times New Roman" w:hAnsi="Times New Roman"/>
      <w:b/>
      <w:sz w:val="28"/>
    </w:rPr>
  </w:style>
  <w:style w:type="paragraph" w:customStyle="1" w:styleId="TableHeading">
    <w:name w:val="Table Heading"/>
    <w:basedOn w:val="HeadingBase"/>
    <w:rsid w:val="00B60172"/>
    <w:pPr>
      <w:keepLines/>
      <w:pBdr>
        <w:bottom w:val="single" w:sz="6" w:space="1" w:color="918585"/>
      </w:pBdr>
      <w:spacing w:before="240"/>
    </w:pPr>
  </w:style>
  <w:style w:type="paragraph" w:customStyle="1" w:styleId="AllowPageBreak">
    <w:name w:val="AllowPageBreak"/>
    <w:rsid w:val="00B60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60172"/>
    <w:rPr>
      <w:rFonts w:ascii="Times New Roman" w:eastAsia="Times New Roman" w:hAnsi="Times New Roman" w:cs="Times New Roman"/>
      <w:b/>
      <w:sz w:val="28"/>
      <w:szCs w:val="40"/>
      <w:lang w:eastAsia="en-US"/>
    </w:rPr>
  </w:style>
  <w:style w:type="character" w:customStyle="1" w:styleId="Heading3Char">
    <w:name w:val="Heading 3 Char"/>
    <w:link w:val="Heading3"/>
    <w:rsid w:val="00B60172"/>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B601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0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1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01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0172"/>
    <w:rPr>
      <w:rFonts w:ascii="Courier New" w:eastAsia="Times New Roman" w:hAnsi="Courier New" w:cs="Times New Roman"/>
      <w:i/>
      <w:szCs w:val="20"/>
      <w:lang w:val="en-US" w:eastAsia="en-US"/>
    </w:rPr>
  </w:style>
  <w:style w:type="paragraph" w:customStyle="1" w:styleId="HeadingBase">
    <w:name w:val="Heading Base"/>
    <w:rsid w:val="00B60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172"/>
    <w:pPr>
      <w:tabs>
        <w:tab w:val="right" w:leader="dot" w:pos="9072"/>
      </w:tabs>
      <w:ind w:left="567"/>
    </w:pPr>
    <w:rPr>
      <w:szCs w:val="22"/>
    </w:rPr>
  </w:style>
  <w:style w:type="paragraph" w:customStyle="1" w:styleId="TOCBase">
    <w:name w:val="TOC Base"/>
    <w:rsid w:val="00B60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172"/>
    <w:pPr>
      <w:tabs>
        <w:tab w:val="right" w:leader="dot" w:pos="9072"/>
      </w:tabs>
      <w:spacing w:before="40" w:after="40"/>
      <w:ind w:left="284"/>
    </w:pPr>
    <w:rPr>
      <w:rFonts w:ascii="Times New Roman" w:hAnsi="Times New Roman"/>
    </w:rPr>
  </w:style>
  <w:style w:type="paragraph" w:styleId="TOC1">
    <w:name w:val="toc 1"/>
    <w:basedOn w:val="TOCBase"/>
    <w:next w:val="Normal"/>
    <w:rsid w:val="00B601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172"/>
    <w:pPr>
      <w:spacing w:before="5040"/>
      <w:jc w:val="center"/>
    </w:pPr>
    <w:rPr>
      <w:sz w:val="48"/>
      <w:szCs w:val="72"/>
      <w:lang w:val="en-US"/>
    </w:rPr>
  </w:style>
  <w:style w:type="character" w:customStyle="1" w:styleId="TitleChar">
    <w:name w:val="Title Char"/>
    <w:link w:val="Title"/>
    <w:rsid w:val="00B60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172"/>
    <w:pPr>
      <w:tabs>
        <w:tab w:val="left" w:pos="3600"/>
        <w:tab w:val="left" w:pos="3958"/>
      </w:tabs>
    </w:pPr>
  </w:style>
  <w:style w:type="paragraph" w:customStyle="1" w:styleId="Note">
    <w:name w:val="Note"/>
    <w:basedOn w:val="BodyText"/>
    <w:rsid w:val="00B60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172"/>
    <w:pPr>
      <w:framePr w:wrap="auto" w:hAnchor="text" w:y="6049"/>
    </w:pPr>
    <w:rPr>
      <w:color w:val="000000"/>
      <w:sz w:val="40"/>
    </w:rPr>
  </w:style>
  <w:style w:type="paragraph" w:customStyle="1" w:styleId="TOCTitle">
    <w:name w:val="TOCTitle"/>
    <w:basedOn w:val="Heading1"/>
    <w:rsid w:val="00B60172"/>
    <w:pPr>
      <w:spacing w:after="240"/>
      <w:jc w:val="center"/>
      <w:outlineLvl w:val="9"/>
    </w:pPr>
    <w:rPr>
      <w:caps/>
    </w:rPr>
  </w:style>
  <w:style w:type="paragraph" w:customStyle="1" w:styleId="Version">
    <w:name w:val="Version"/>
    <w:rsid w:val="00B60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172"/>
    <w:pPr>
      <w:numPr>
        <w:numId w:val="13"/>
      </w:numPr>
      <w:tabs>
        <w:tab w:val="clear" w:pos="680"/>
      </w:tabs>
    </w:pPr>
  </w:style>
  <w:style w:type="paragraph" w:styleId="Index1">
    <w:name w:val="index 1"/>
    <w:basedOn w:val="Normal"/>
    <w:next w:val="Normal"/>
    <w:semiHidden/>
    <w:rsid w:val="00B60172"/>
    <w:pPr>
      <w:keepNext w:val="0"/>
      <w:tabs>
        <w:tab w:val="right" w:pos="4176"/>
      </w:tabs>
      <w:ind w:left="198" w:hanging="198"/>
    </w:pPr>
    <w:rPr>
      <w:rFonts w:ascii="Garamond" w:hAnsi="Garamond"/>
    </w:rPr>
  </w:style>
  <w:style w:type="paragraph" w:styleId="IndexHeading">
    <w:name w:val="index heading"/>
    <w:basedOn w:val="Normal"/>
    <w:next w:val="Index1"/>
    <w:semiHidden/>
    <w:rsid w:val="00B60172"/>
    <w:pPr>
      <w:spacing w:before="120" w:after="120"/>
    </w:pPr>
    <w:rPr>
      <w:rFonts w:ascii="Arial" w:hAnsi="Arial"/>
      <w:b/>
      <w:color w:val="918585"/>
      <w:sz w:val="24"/>
    </w:rPr>
  </w:style>
  <w:style w:type="paragraph" w:customStyle="1" w:styleId="Chapter">
    <w:name w:val="Chapter"/>
    <w:basedOn w:val="Normal"/>
    <w:rsid w:val="00B60172"/>
    <w:pPr>
      <w:spacing w:before="240"/>
    </w:pPr>
    <w:rPr>
      <w:rFonts w:ascii="Times New Roman" w:hAnsi="Times New Roman"/>
      <w:smallCaps/>
      <w:spacing w:val="80"/>
      <w:sz w:val="28"/>
    </w:rPr>
  </w:style>
  <w:style w:type="paragraph" w:customStyle="1" w:styleId="InChapter">
    <w:name w:val="InChapter"/>
    <w:basedOn w:val="Heading3"/>
    <w:rsid w:val="00B60172"/>
    <w:pPr>
      <w:spacing w:after="240"/>
      <w:outlineLvl w:val="9"/>
    </w:pPr>
    <w:rPr>
      <w:noProof/>
    </w:rPr>
  </w:style>
  <w:style w:type="paragraph" w:styleId="Index2">
    <w:name w:val="index 2"/>
    <w:basedOn w:val="Normal"/>
    <w:next w:val="Normal"/>
    <w:semiHidden/>
    <w:rsid w:val="00B60172"/>
    <w:pPr>
      <w:tabs>
        <w:tab w:val="right" w:pos="4176"/>
      </w:tabs>
      <w:ind w:left="568" w:hanging="284"/>
    </w:pPr>
    <w:rPr>
      <w:rFonts w:ascii="Garamond" w:hAnsi="Garamond"/>
    </w:rPr>
  </w:style>
  <w:style w:type="paragraph" w:customStyle="1" w:styleId="Byline">
    <w:name w:val="Byline"/>
    <w:rsid w:val="00B60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172"/>
    <w:pPr>
      <w:tabs>
        <w:tab w:val="clear" w:pos="3600"/>
        <w:tab w:val="clear" w:pos="3958"/>
      </w:tabs>
      <w:jc w:val="right"/>
    </w:pPr>
  </w:style>
  <w:style w:type="character" w:styleId="Emphasis">
    <w:name w:val="Emphasis"/>
    <w:qFormat/>
    <w:rsid w:val="00B60172"/>
    <w:rPr>
      <w:i/>
    </w:rPr>
  </w:style>
  <w:style w:type="paragraph" w:styleId="Caption">
    <w:name w:val="caption"/>
    <w:basedOn w:val="BodyText"/>
    <w:next w:val="Normal"/>
    <w:qFormat/>
    <w:rsid w:val="00B60172"/>
    <w:pPr>
      <w:framePr w:w="2268" w:hSpace="181" w:vSpace="181" w:wrap="around" w:vAnchor="text" w:hAnchor="page" w:x="1135" w:y="285" w:anchorLock="1"/>
    </w:pPr>
    <w:rPr>
      <w:i/>
    </w:rPr>
  </w:style>
  <w:style w:type="paragraph" w:customStyle="1" w:styleId="MiniTOCTitle">
    <w:name w:val="MiniTOCTitle"/>
    <w:basedOn w:val="Heading4"/>
    <w:rsid w:val="00B60172"/>
    <w:pPr>
      <w:spacing w:before="240"/>
      <w:outlineLvl w:val="9"/>
    </w:pPr>
    <w:rPr>
      <w:noProof/>
      <w:sz w:val="24"/>
    </w:rPr>
  </w:style>
  <w:style w:type="paragraph" w:customStyle="1" w:styleId="MiniTOCItem">
    <w:name w:val="MiniTOCItem"/>
    <w:basedOn w:val="ListBullet"/>
    <w:rsid w:val="00B60172"/>
    <w:pPr>
      <w:numPr>
        <w:numId w:val="0"/>
      </w:numPr>
      <w:tabs>
        <w:tab w:val="right" w:leader="dot" w:pos="6521"/>
      </w:tabs>
      <w:spacing w:before="0" w:after="0"/>
    </w:pPr>
  </w:style>
  <w:style w:type="paragraph" w:customStyle="1" w:styleId="TOFTitle">
    <w:name w:val="TOFTitle"/>
    <w:basedOn w:val="TOCTitle"/>
    <w:rsid w:val="00B60172"/>
  </w:style>
  <w:style w:type="paragraph" w:styleId="TableofFigures">
    <w:name w:val="table of figures"/>
    <w:basedOn w:val="Normal"/>
    <w:next w:val="Normal"/>
    <w:semiHidden/>
    <w:rsid w:val="00B60172"/>
    <w:pPr>
      <w:tabs>
        <w:tab w:val="right" w:leader="dot" w:pos="9072"/>
      </w:tabs>
      <w:ind w:left="970" w:hanging="403"/>
    </w:pPr>
    <w:rPr>
      <w:rFonts w:ascii="Times New Roman" w:hAnsi="Times New Roman"/>
      <w:b/>
    </w:rPr>
  </w:style>
  <w:style w:type="paragraph" w:styleId="ListNumber">
    <w:name w:val="List Number"/>
    <w:basedOn w:val="List"/>
    <w:rsid w:val="00B60172"/>
    <w:pPr>
      <w:numPr>
        <w:numId w:val="10"/>
      </w:numPr>
    </w:pPr>
  </w:style>
  <w:style w:type="character" w:customStyle="1" w:styleId="WingdingSymbols">
    <w:name w:val="Wingding Symbols"/>
    <w:rsid w:val="00B60172"/>
    <w:rPr>
      <w:rFonts w:ascii="Wingdings" w:hAnsi="Wingdings"/>
    </w:rPr>
  </w:style>
  <w:style w:type="character" w:customStyle="1" w:styleId="HotSpot">
    <w:name w:val="HotSpot"/>
    <w:rsid w:val="00B60172"/>
    <w:rPr>
      <w:color w:val="0033CC"/>
      <w:u w:val="none"/>
    </w:rPr>
  </w:style>
  <w:style w:type="paragraph" w:customStyle="1" w:styleId="BodyTextRight">
    <w:name w:val="Body Text Right"/>
    <w:basedOn w:val="BodyText"/>
    <w:rsid w:val="00B60172"/>
    <w:pPr>
      <w:spacing w:before="0" w:after="0"/>
      <w:jc w:val="right"/>
    </w:pPr>
  </w:style>
  <w:style w:type="paragraph" w:styleId="Index3">
    <w:name w:val="index 3"/>
    <w:basedOn w:val="ListNumber2"/>
    <w:next w:val="Normal"/>
    <w:semiHidden/>
    <w:rsid w:val="00B60172"/>
    <w:pPr>
      <w:numPr>
        <w:numId w:val="0"/>
      </w:numPr>
      <w:tabs>
        <w:tab w:val="right" w:leader="dot" w:pos="4176"/>
      </w:tabs>
    </w:pPr>
  </w:style>
  <w:style w:type="paragraph" w:styleId="ListNumber2">
    <w:name w:val="List Number 2"/>
    <w:basedOn w:val="List2"/>
    <w:rsid w:val="00B60172"/>
    <w:pPr>
      <w:numPr>
        <w:numId w:val="9"/>
      </w:numPr>
      <w:tabs>
        <w:tab w:val="clear" w:pos="1060"/>
      </w:tabs>
    </w:pPr>
  </w:style>
  <w:style w:type="paragraph" w:customStyle="1" w:styleId="MarginNote">
    <w:name w:val="Margin Note"/>
    <w:basedOn w:val="BodyText"/>
    <w:rsid w:val="00B60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01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0172"/>
    <w:rPr>
      <w:sz w:val="32"/>
    </w:rPr>
  </w:style>
  <w:style w:type="paragraph" w:customStyle="1" w:styleId="HeadingProcedure">
    <w:name w:val="Heading Procedure"/>
    <w:basedOn w:val="HeadingBase"/>
    <w:next w:val="Normal"/>
    <w:rsid w:val="00B60172"/>
    <w:pPr>
      <w:tabs>
        <w:tab w:val="left" w:pos="0"/>
      </w:tabs>
      <w:spacing w:before="120" w:after="60"/>
    </w:pPr>
    <w:rPr>
      <w:i/>
      <w:color w:val="918585"/>
      <w:sz w:val="22"/>
    </w:rPr>
  </w:style>
  <w:style w:type="paragraph" w:customStyle="1" w:styleId="TableBodyText">
    <w:name w:val="Table Body Text"/>
    <w:basedOn w:val="BodyText"/>
    <w:rsid w:val="00B60172"/>
    <w:pPr>
      <w:spacing w:before="60" w:after="60"/>
    </w:pPr>
  </w:style>
  <w:style w:type="paragraph" w:styleId="ListContinue">
    <w:name w:val="List Continue"/>
    <w:basedOn w:val="List"/>
    <w:rsid w:val="00B60172"/>
    <w:pPr>
      <w:ind w:firstLine="0"/>
    </w:pPr>
  </w:style>
  <w:style w:type="paragraph" w:customStyle="1" w:styleId="ListNote">
    <w:name w:val="List Note"/>
    <w:basedOn w:val="List"/>
    <w:rsid w:val="00B60172"/>
    <w:pPr>
      <w:pBdr>
        <w:top w:val="single" w:sz="6" w:space="2" w:color="918585"/>
        <w:bottom w:val="single" w:sz="6" w:space="2" w:color="918585"/>
      </w:pBdr>
      <w:tabs>
        <w:tab w:val="left" w:pos="1021"/>
      </w:tabs>
      <w:ind w:firstLine="0"/>
    </w:pPr>
  </w:style>
  <w:style w:type="paragraph" w:customStyle="1" w:styleId="Warning">
    <w:name w:val="Warning"/>
    <w:basedOn w:val="BodyText"/>
    <w:rsid w:val="00B60172"/>
    <w:pPr>
      <w:shd w:val="clear" w:color="auto" w:fill="D9D9D9"/>
      <w:tabs>
        <w:tab w:val="left" w:pos="992"/>
      </w:tabs>
      <w:ind w:left="119" w:right="119"/>
    </w:pPr>
    <w:rPr>
      <w:sz w:val="20"/>
    </w:rPr>
  </w:style>
  <w:style w:type="paragraph" w:customStyle="1" w:styleId="MarginIcons">
    <w:name w:val="Margin Icons"/>
    <w:basedOn w:val="BodyText"/>
    <w:rsid w:val="00B601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0172"/>
    <w:rPr>
      <w:rFonts w:ascii="Courier New" w:hAnsi="Courier New"/>
    </w:rPr>
  </w:style>
  <w:style w:type="paragraph" w:customStyle="1" w:styleId="NoteBullet">
    <w:name w:val="Note Bullet"/>
    <w:basedOn w:val="Note"/>
    <w:rsid w:val="00B60172"/>
    <w:pPr>
      <w:tabs>
        <w:tab w:val="clear" w:pos="680"/>
      </w:tabs>
      <w:spacing w:before="60" w:after="60"/>
    </w:pPr>
  </w:style>
  <w:style w:type="paragraph" w:customStyle="1" w:styleId="SubHeading2">
    <w:name w:val="SubHeading2"/>
    <w:basedOn w:val="HeadingBase"/>
    <w:rsid w:val="00B60172"/>
    <w:pPr>
      <w:spacing w:before="240" w:after="60"/>
    </w:pPr>
    <w:rPr>
      <w:sz w:val="20"/>
    </w:rPr>
  </w:style>
  <w:style w:type="paragraph" w:customStyle="1" w:styleId="SubHeading1">
    <w:name w:val="SubHeading1"/>
    <w:basedOn w:val="HeadingBase"/>
    <w:rsid w:val="00B60172"/>
    <w:pPr>
      <w:spacing w:before="240" w:after="60"/>
    </w:pPr>
    <w:rPr>
      <w:color w:val="918585"/>
      <w:sz w:val="22"/>
    </w:rPr>
  </w:style>
  <w:style w:type="paragraph" w:customStyle="1" w:styleId="SideHeading">
    <w:name w:val="Side Heading"/>
    <w:basedOn w:val="HeadingBase"/>
    <w:rsid w:val="00B60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172"/>
    <w:pPr>
      <w:tabs>
        <w:tab w:val="num" w:pos="360"/>
      </w:tabs>
    </w:pPr>
  </w:style>
  <w:style w:type="paragraph" w:styleId="PlainText">
    <w:name w:val="Plain Text"/>
    <w:basedOn w:val="Normal"/>
    <w:link w:val="PlainTextChar"/>
    <w:rsid w:val="00B60172"/>
    <w:rPr>
      <w:sz w:val="20"/>
    </w:rPr>
  </w:style>
  <w:style w:type="character" w:customStyle="1" w:styleId="PlainTextChar">
    <w:name w:val="Plain Text Char"/>
    <w:basedOn w:val="DefaultParagraphFont"/>
    <w:link w:val="PlainText"/>
    <w:rsid w:val="00B60172"/>
    <w:rPr>
      <w:rFonts w:ascii="Courier New" w:eastAsia="Times New Roman" w:hAnsi="Courier New" w:cs="Times New Roman"/>
      <w:sz w:val="20"/>
      <w:szCs w:val="20"/>
      <w:lang w:val="en-US" w:eastAsia="en-US"/>
    </w:rPr>
  </w:style>
  <w:style w:type="character" w:customStyle="1" w:styleId="MenuOption">
    <w:name w:val="Menu Option"/>
    <w:rsid w:val="00B60172"/>
    <w:rPr>
      <w:b/>
      <w:smallCaps/>
    </w:rPr>
  </w:style>
  <w:style w:type="paragraph" w:customStyle="1" w:styleId="TableListNumber">
    <w:name w:val="Table List Number"/>
    <w:basedOn w:val="ListNumber"/>
    <w:rsid w:val="00B60172"/>
    <w:pPr>
      <w:numPr>
        <w:numId w:val="0"/>
      </w:numPr>
    </w:pPr>
  </w:style>
  <w:style w:type="paragraph" w:styleId="TOC4">
    <w:name w:val="toc 4"/>
    <w:basedOn w:val="TOCBase"/>
    <w:next w:val="Normal"/>
    <w:semiHidden/>
    <w:rsid w:val="00B60172"/>
    <w:pPr>
      <w:tabs>
        <w:tab w:val="right" w:leader="dot" w:pos="9071"/>
      </w:tabs>
      <w:ind w:left="1701"/>
    </w:pPr>
  </w:style>
  <w:style w:type="paragraph" w:customStyle="1" w:styleId="ListAlpha">
    <w:name w:val="List Alpha"/>
    <w:basedOn w:val="List"/>
    <w:rsid w:val="00B60172"/>
    <w:pPr>
      <w:numPr>
        <w:numId w:val="8"/>
      </w:numPr>
    </w:pPr>
  </w:style>
  <w:style w:type="paragraph" w:customStyle="1" w:styleId="ListAlpha2">
    <w:name w:val="List Alpha 2"/>
    <w:basedOn w:val="List2"/>
    <w:rsid w:val="00B60172"/>
    <w:pPr>
      <w:numPr>
        <w:numId w:val="7"/>
      </w:numPr>
    </w:pPr>
  </w:style>
  <w:style w:type="paragraph" w:styleId="List2">
    <w:name w:val="List 2"/>
    <w:basedOn w:val="BodyText"/>
    <w:rsid w:val="00B60172"/>
    <w:pPr>
      <w:tabs>
        <w:tab w:val="left" w:pos="680"/>
      </w:tabs>
      <w:spacing w:before="60" w:after="60"/>
      <w:ind w:left="680" w:hanging="340"/>
    </w:pPr>
  </w:style>
  <w:style w:type="paragraph" w:styleId="List3">
    <w:name w:val="List 3"/>
    <w:basedOn w:val="BodyText"/>
    <w:rsid w:val="00B60172"/>
    <w:pPr>
      <w:tabs>
        <w:tab w:val="left" w:pos="1021"/>
      </w:tabs>
      <w:spacing w:before="60" w:after="60"/>
      <w:ind w:left="1020" w:hanging="340"/>
    </w:pPr>
  </w:style>
  <w:style w:type="paragraph" w:styleId="List4">
    <w:name w:val="List 4"/>
    <w:basedOn w:val="BodyText"/>
    <w:rsid w:val="00B60172"/>
    <w:pPr>
      <w:tabs>
        <w:tab w:val="left" w:pos="1361"/>
      </w:tabs>
      <w:spacing w:before="60" w:after="60"/>
      <w:ind w:left="1361" w:hanging="340"/>
    </w:pPr>
  </w:style>
  <w:style w:type="paragraph" w:styleId="List5">
    <w:name w:val="List 5"/>
    <w:basedOn w:val="BodyText"/>
    <w:rsid w:val="00B60172"/>
    <w:pPr>
      <w:tabs>
        <w:tab w:val="left" w:pos="1701"/>
      </w:tabs>
      <w:spacing w:before="60" w:after="60"/>
      <w:ind w:left="1701" w:hanging="340"/>
    </w:pPr>
  </w:style>
  <w:style w:type="paragraph" w:styleId="ListBullet3">
    <w:name w:val="List Bullet 3"/>
    <w:basedOn w:val="List3"/>
    <w:rsid w:val="00B60172"/>
    <w:pPr>
      <w:numPr>
        <w:numId w:val="14"/>
      </w:numPr>
      <w:tabs>
        <w:tab w:val="clear" w:pos="1021"/>
      </w:tabs>
      <w:ind w:left="1037" w:hanging="357"/>
    </w:pPr>
  </w:style>
  <w:style w:type="paragraph" w:styleId="ListBullet4">
    <w:name w:val="List Bullet 4"/>
    <w:basedOn w:val="List4"/>
    <w:rsid w:val="00B60172"/>
    <w:pPr>
      <w:numPr>
        <w:numId w:val="2"/>
      </w:numPr>
    </w:pPr>
  </w:style>
  <w:style w:type="paragraph" w:styleId="ListBullet5">
    <w:name w:val="List Bullet 5"/>
    <w:basedOn w:val="List5"/>
    <w:rsid w:val="00B60172"/>
    <w:pPr>
      <w:numPr>
        <w:numId w:val="3"/>
      </w:numPr>
    </w:pPr>
  </w:style>
  <w:style w:type="paragraph" w:styleId="ListContinue2">
    <w:name w:val="List Continue 2"/>
    <w:basedOn w:val="List2"/>
    <w:rsid w:val="00B60172"/>
    <w:pPr>
      <w:ind w:firstLine="0"/>
    </w:pPr>
  </w:style>
  <w:style w:type="paragraph" w:styleId="ListContinue3">
    <w:name w:val="List Continue 3"/>
    <w:basedOn w:val="List3"/>
    <w:rsid w:val="00B60172"/>
    <w:pPr>
      <w:ind w:left="1021" w:firstLine="0"/>
    </w:pPr>
  </w:style>
  <w:style w:type="paragraph" w:styleId="ListContinue4">
    <w:name w:val="List Continue 4"/>
    <w:basedOn w:val="List4"/>
    <w:rsid w:val="00B60172"/>
    <w:pPr>
      <w:ind w:firstLine="0"/>
    </w:pPr>
  </w:style>
  <w:style w:type="paragraph" w:styleId="ListContinue5">
    <w:name w:val="List Continue 5"/>
    <w:basedOn w:val="List5"/>
    <w:rsid w:val="00B60172"/>
    <w:pPr>
      <w:ind w:firstLine="0"/>
    </w:pPr>
  </w:style>
  <w:style w:type="paragraph" w:styleId="ListNumber3">
    <w:name w:val="List Number 3"/>
    <w:basedOn w:val="List3"/>
    <w:rsid w:val="00B60172"/>
    <w:pPr>
      <w:numPr>
        <w:numId w:val="4"/>
      </w:numPr>
    </w:pPr>
  </w:style>
  <w:style w:type="paragraph" w:styleId="ListNumber4">
    <w:name w:val="List Number 4"/>
    <w:basedOn w:val="List4"/>
    <w:rsid w:val="00B60172"/>
    <w:pPr>
      <w:numPr>
        <w:numId w:val="5"/>
      </w:numPr>
    </w:pPr>
  </w:style>
  <w:style w:type="paragraph" w:styleId="ListNumber5">
    <w:name w:val="List Number 5"/>
    <w:basedOn w:val="List5"/>
    <w:rsid w:val="00B60172"/>
    <w:pPr>
      <w:numPr>
        <w:numId w:val="6"/>
      </w:numPr>
    </w:pPr>
  </w:style>
  <w:style w:type="paragraph" w:styleId="BlockText">
    <w:name w:val="Block Text"/>
    <w:basedOn w:val="Normal"/>
    <w:rsid w:val="00B60172"/>
    <w:pPr>
      <w:spacing w:after="120"/>
      <w:ind w:left="1440" w:right="1440"/>
    </w:pPr>
  </w:style>
  <w:style w:type="character" w:customStyle="1" w:styleId="Subscript">
    <w:name w:val="Subscript"/>
    <w:rsid w:val="00B60172"/>
    <w:rPr>
      <w:sz w:val="16"/>
      <w:vertAlign w:val="subscript"/>
    </w:rPr>
  </w:style>
  <w:style w:type="character" w:customStyle="1" w:styleId="Superscript">
    <w:name w:val="Superscript"/>
    <w:rsid w:val="00B60172"/>
    <w:rPr>
      <w:sz w:val="16"/>
      <w:vertAlign w:val="superscript"/>
    </w:rPr>
  </w:style>
  <w:style w:type="character" w:customStyle="1" w:styleId="Symbols">
    <w:name w:val="Symbols"/>
    <w:rsid w:val="00B60172"/>
    <w:rPr>
      <w:rFonts w:ascii="Symbol" w:hAnsi="Symbol"/>
    </w:rPr>
  </w:style>
  <w:style w:type="character" w:customStyle="1" w:styleId="MenuOptions">
    <w:name w:val="Menu Options"/>
    <w:rsid w:val="00B60172"/>
    <w:rPr>
      <w:rFonts w:ascii="Arial Narrow" w:hAnsi="Arial Narrow"/>
      <w:smallCaps/>
    </w:rPr>
  </w:style>
  <w:style w:type="character" w:customStyle="1" w:styleId="Buttons">
    <w:name w:val="Buttons"/>
    <w:rsid w:val="00B60172"/>
    <w:rPr>
      <w:b/>
    </w:rPr>
  </w:style>
  <w:style w:type="character" w:customStyle="1" w:styleId="Underlined">
    <w:name w:val="Underlined"/>
    <w:rsid w:val="00B60172"/>
    <w:rPr>
      <w:u w:val="single"/>
    </w:rPr>
  </w:style>
  <w:style w:type="paragraph" w:customStyle="1" w:styleId="TableBodyTextRight">
    <w:name w:val="Table Body Text Right"/>
    <w:basedOn w:val="TableBodyText"/>
    <w:rsid w:val="00B60172"/>
    <w:pPr>
      <w:widowControl w:val="0"/>
      <w:autoSpaceDE w:val="0"/>
      <w:autoSpaceDN w:val="0"/>
      <w:adjustRightInd w:val="0"/>
      <w:jc w:val="right"/>
    </w:pPr>
    <w:rPr>
      <w:rFonts w:cs="Arial"/>
      <w:szCs w:val="18"/>
    </w:rPr>
  </w:style>
  <w:style w:type="paragraph" w:customStyle="1" w:styleId="CopyrightText">
    <w:name w:val="Copyright Text"/>
    <w:basedOn w:val="BodyText"/>
    <w:rsid w:val="00B60172"/>
    <w:rPr>
      <w:sz w:val="18"/>
    </w:rPr>
  </w:style>
  <w:style w:type="paragraph" w:customStyle="1" w:styleId="BodySmallRight">
    <w:name w:val="Body Small Right"/>
    <w:basedOn w:val="BodyTextRight"/>
    <w:rsid w:val="00B60172"/>
    <w:rPr>
      <w:sz w:val="18"/>
      <w:szCs w:val="18"/>
    </w:rPr>
  </w:style>
  <w:style w:type="paragraph" w:customStyle="1" w:styleId="MarginEdition">
    <w:name w:val="Margin Edition"/>
    <w:basedOn w:val="MarginNote"/>
    <w:rsid w:val="00B60172"/>
    <w:pPr>
      <w:spacing w:before="0" w:after="0"/>
    </w:pPr>
    <w:rPr>
      <w:rFonts w:ascii="Times New Roman" w:hAnsi="Times New Roman"/>
      <w:color w:val="999999"/>
    </w:rPr>
  </w:style>
  <w:style w:type="paragraph" w:customStyle="1" w:styleId="Spacer">
    <w:name w:val="Spacer"/>
    <w:basedOn w:val="Normal"/>
    <w:rsid w:val="00B60172"/>
    <w:rPr>
      <w:sz w:val="2"/>
      <w:szCs w:val="2"/>
    </w:rPr>
  </w:style>
  <w:style w:type="character" w:customStyle="1" w:styleId="Small">
    <w:name w:val="Small"/>
    <w:rsid w:val="00B60172"/>
    <w:rPr>
      <w:sz w:val="16"/>
    </w:rPr>
  </w:style>
  <w:style w:type="paragraph" w:customStyle="1" w:styleId="WideTable">
    <w:name w:val="Wide Table"/>
    <w:basedOn w:val="Normal"/>
    <w:rsid w:val="00B60172"/>
    <w:pPr>
      <w:ind w:left="-1418"/>
    </w:pPr>
    <w:rPr>
      <w:sz w:val="2"/>
      <w:szCs w:val="2"/>
    </w:rPr>
  </w:style>
  <w:style w:type="character" w:styleId="PageNumber">
    <w:name w:val="page number"/>
    <w:rsid w:val="00B60172"/>
  </w:style>
  <w:style w:type="paragraph" w:styleId="Quote">
    <w:name w:val="Quote"/>
    <w:basedOn w:val="Heading1"/>
    <w:link w:val="QuoteChar"/>
    <w:qFormat/>
    <w:rsid w:val="00B60172"/>
    <w:rPr>
      <w:b w:val="0"/>
      <w:sz w:val="72"/>
      <w:szCs w:val="72"/>
      <w:lang w:val="en-NZ"/>
    </w:rPr>
  </w:style>
  <w:style w:type="character" w:customStyle="1" w:styleId="QuoteChar">
    <w:name w:val="Quote Char"/>
    <w:link w:val="Quote"/>
    <w:rsid w:val="00B60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172"/>
    <w:pPr>
      <w:pageBreakBefore/>
    </w:pPr>
  </w:style>
  <w:style w:type="paragraph" w:customStyle="1" w:styleId="Border">
    <w:name w:val="Border"/>
    <w:basedOn w:val="Normal"/>
    <w:qFormat/>
    <w:rsid w:val="00B60172"/>
    <w:pPr>
      <w:pBdr>
        <w:top w:val="single" w:sz="18" w:space="1" w:color="auto"/>
      </w:pBdr>
    </w:pPr>
    <w:rPr>
      <w:rFonts w:ascii="Times New Roman" w:hAnsi="Times New Roman"/>
      <w:color w:val="FFFFFF"/>
      <w:sz w:val="2"/>
    </w:rPr>
  </w:style>
  <w:style w:type="character" w:styleId="IntenseEmphasis">
    <w:name w:val="Intense Emphasis"/>
    <w:uiPriority w:val="21"/>
    <w:qFormat/>
    <w:rsid w:val="00B60172"/>
    <w:rPr>
      <w:b/>
      <w:bCs/>
      <w:i/>
      <w:iCs/>
      <w:color w:val="auto"/>
    </w:rPr>
  </w:style>
  <w:style w:type="paragraph" w:styleId="IntenseQuote">
    <w:name w:val="Intense Quote"/>
    <w:basedOn w:val="Normal"/>
    <w:next w:val="Normal"/>
    <w:link w:val="IntenseQuoteChar"/>
    <w:uiPriority w:val="30"/>
    <w:qFormat/>
    <w:rsid w:val="00B601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0172"/>
    <w:rPr>
      <w:rFonts w:ascii="Courier New" w:eastAsia="Times New Roman" w:hAnsi="Courier New" w:cs="Times New Roman"/>
      <w:b/>
      <w:bCs/>
      <w:i/>
      <w:iCs/>
      <w:szCs w:val="20"/>
      <w:lang w:val="en-US" w:eastAsia="en-US"/>
    </w:rPr>
  </w:style>
  <w:style w:type="character" w:styleId="SubtleReference">
    <w:name w:val="Subtle Reference"/>
    <w:uiPriority w:val="31"/>
    <w:qFormat/>
    <w:rsid w:val="00B60172"/>
    <w:rPr>
      <w:smallCaps/>
      <w:color w:val="auto"/>
      <w:u w:val="single"/>
    </w:rPr>
  </w:style>
  <w:style w:type="character" w:styleId="IntenseReference">
    <w:name w:val="Intense Reference"/>
    <w:uiPriority w:val="32"/>
    <w:qFormat/>
    <w:rsid w:val="00B60172"/>
    <w:rPr>
      <w:b/>
      <w:bCs/>
      <w:smallCaps/>
      <w:color w:val="auto"/>
      <w:spacing w:val="5"/>
      <w:u w:val="single"/>
    </w:rPr>
  </w:style>
  <w:style w:type="paragraph" w:customStyle="1" w:styleId="2ColumnHeading">
    <w:name w:val="2Column Heading"/>
    <w:basedOn w:val="BodyText"/>
    <w:qFormat/>
    <w:rsid w:val="00B60172"/>
    <w:pPr>
      <w:spacing w:after="60"/>
      <w:ind w:left="-2268"/>
    </w:pPr>
    <w:rPr>
      <w:b/>
    </w:rPr>
  </w:style>
  <w:style w:type="paragraph" w:customStyle="1" w:styleId="Heading1TOC">
    <w:name w:val="Heading1 TOC"/>
    <w:basedOn w:val="Normal"/>
    <w:qFormat/>
    <w:rsid w:val="00B60172"/>
    <w:pPr>
      <w:spacing w:before="240" w:after="120"/>
    </w:pPr>
    <w:rPr>
      <w:rFonts w:ascii="Times New Roman" w:hAnsi="Times New Roman"/>
      <w:b/>
      <w:sz w:val="32"/>
    </w:rPr>
  </w:style>
  <w:style w:type="paragraph" w:customStyle="1" w:styleId="Heading2TOC">
    <w:name w:val="Heading2 TOC"/>
    <w:basedOn w:val="Normal"/>
    <w:qFormat/>
    <w:rsid w:val="00B60172"/>
    <w:pPr>
      <w:spacing w:before="240" w:after="60"/>
    </w:pPr>
    <w:rPr>
      <w:rFonts w:ascii="Times New Roman" w:hAnsi="Times New Roman"/>
      <w:b/>
      <w:sz w:val="28"/>
    </w:rPr>
  </w:style>
  <w:style w:type="character" w:customStyle="1" w:styleId="Underline">
    <w:name w:val="Underline"/>
    <w:qFormat/>
    <w:rsid w:val="00B60172"/>
    <w:rPr>
      <w:u w:val="single"/>
    </w:rPr>
  </w:style>
  <w:style w:type="character" w:customStyle="1" w:styleId="BoldandItalics">
    <w:name w:val="Bold and Italics"/>
    <w:qFormat/>
    <w:rsid w:val="00B60172"/>
    <w:rPr>
      <w:b/>
      <w:i/>
      <w:u w:val="none"/>
    </w:rPr>
  </w:style>
  <w:style w:type="paragraph" w:styleId="BalloonText">
    <w:name w:val="Balloon Text"/>
    <w:basedOn w:val="Normal"/>
    <w:link w:val="BalloonTextChar"/>
    <w:rsid w:val="00B60172"/>
    <w:rPr>
      <w:rFonts w:ascii="Tahoma" w:hAnsi="Tahoma" w:cs="Tahoma"/>
      <w:sz w:val="16"/>
      <w:szCs w:val="16"/>
    </w:rPr>
  </w:style>
  <w:style w:type="character" w:customStyle="1" w:styleId="BalloonTextChar">
    <w:name w:val="Balloon Text Char"/>
    <w:link w:val="BalloonText"/>
    <w:rsid w:val="00B601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01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01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6082</Characters>
  <Application>Microsoft Office Word</Application>
  <DocSecurity>0</DocSecurity>
  <Lines>197</Lines>
  <Paragraphs>108</Paragraphs>
  <ScaleCrop>false</ScaleCrop>
  <Company>Author-it Software Corporation Ltd.</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FDFWIN1001A Identify key operations in wine production</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2012-05-26T06:57:00Z</dcterms:created>
  <dcterms:modified xsi:type="dcterms:W3CDTF">2012-05-26T06:57:00Z</dcterms:modified>
</cp:coreProperties>
</file>