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75F" w:rsidP="0014275F">
      <w:pPr>
        <w:pStyle w:val="Title"/>
      </w:pPr>
      <w:r>
        <w:fldChar w:fldCharType="begin"/>
      </w:r>
      <w:r>
        <w:instrText xml:space="preserve"> TITLE   \* MERGEFORMAT </w:instrText>
      </w:r>
      <w:r>
        <w:fldChar w:fldCharType="separate"/>
      </w:r>
      <w:r>
        <w:t xml:space="preserve">FDFWGG3013A Operate spreading and seeding equipment </w:t>
      </w:r>
      <w:r>
        <w:fldChar w:fldCharType="end"/>
      </w:r>
    </w:p>
    <w:p w:rsidR="0014275F" w:rsidP="0014275F">
      <w:pPr>
        <w:pStyle w:val="Version"/>
        <w:sectPr w:rsidSect="002D29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299E" w:rsidP="002D299E">
      <w:pPr>
        <w:pStyle w:val="SuperHeading"/>
      </w:pPr>
      <w:r w:rsidRPr="002D299E">
        <w:t>FDFWGG3013A Operate spreading and seeding equipment</w:t>
      </w:r>
    </w:p>
    <w:p w:rsidR="00000000" w:rsidRPr="002D299E" w:rsidP="002D299E">
      <w:pPr>
        <w:pStyle w:val="Heading1"/>
      </w:pPr>
      <w:bookmarkStart w:id="1" w:name="O_462355"/>
      <w:bookmarkEnd w:id="1"/>
      <w:r w:rsidRPr="002D299E">
        <w:t>Modification History</w:t>
      </w:r>
    </w:p>
    <w:p w:rsidR="00000000" w:rsidRPr="002D299E" w:rsidP="002D299E">
      <w:pPr>
        <w:pStyle w:val="BodyText"/>
      </w:pPr>
      <w:r w:rsidRPr="002D299E">
        <w:t>This unit supersedes and is equivalent to FDFWGGSSEB Operate spreading and seeding equipment.</w:t>
      </w:r>
    </w:p>
    <w:p w:rsidR="00000000" w:rsidRPr="002D299E" w:rsidP="002D299E">
      <w:pPr>
        <w:pStyle w:val="BodyText"/>
      </w:pPr>
      <w:r w:rsidRPr="002D299E">
        <w:t>April 2012: Minor typographical corrections.</w:t>
      </w:r>
    </w:p>
    <w:p w:rsidR="00000000" w:rsidRPr="002D299E" w:rsidP="002D299E">
      <w:pPr>
        <w:pStyle w:val="AllowPageBreak"/>
      </w:pPr>
    </w:p>
    <w:p w:rsidR="00000000" w:rsidRPr="002D299E" w:rsidP="002D299E">
      <w:pPr>
        <w:pStyle w:val="Heading1"/>
      </w:pPr>
      <w:bookmarkStart w:id="2" w:name="O_462351"/>
      <w:bookmarkEnd w:id="2"/>
      <w:r w:rsidRPr="002D299E">
        <w:t>Unit Descriptor</w:t>
      </w:r>
    </w:p>
    <w:tbl>
      <w:tblPr>
        <w:tblW w:w="9462" w:type="dxa"/>
        <w:tblLayout w:type="fixed"/>
        <w:tblCellMar>
          <w:left w:w="62" w:type="dxa"/>
          <w:right w:w="62" w:type="dxa"/>
        </w:tblCellMar>
        <w:tblLook w:val="0000"/>
      </w:tblPr>
      <w:tblGrid>
        <w:gridCol w:w="2663"/>
        <w:gridCol w:w="6799"/>
      </w:tblGrid>
      <w:tr w:rsidTr="002D299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Heading4"/>
              <w:rPr>
                <w:lang w:val="en-NZ"/>
              </w:rPr>
            </w:pPr>
            <w:r w:rsidRPr="002D299E">
              <w:t>Unit descriptor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This specialist unit has been developed</w:t>
            </w:r>
            <w:r w:rsidRPr="002D299E">
              <w:t xml:space="preserve"> for the wine grape growing stream of the wine sector. It covers the skills and knowledge required to operate spreading and seeding equipment. </w:t>
            </w:r>
          </w:p>
        </w:tc>
      </w:tr>
    </w:tbl>
    <w:p w:rsidR="0014275F" w:rsidP="002D299E">
      <w:pPr>
        <w:pStyle w:val="BodyText"/>
      </w:pPr>
    </w:p>
    <w:p w:rsidR="0014275F" w:rsidP="002D299E">
      <w:pPr>
        <w:pStyle w:val="BodyText"/>
      </w:pPr>
    </w:p>
    <w:p w:rsidR="00000000" w:rsidRPr="002D299E" w:rsidP="002D299E">
      <w:pPr>
        <w:pStyle w:val="Heading1"/>
      </w:pPr>
      <w:bookmarkStart w:id="3" w:name="O_462363"/>
      <w:bookmarkEnd w:id="3"/>
      <w:r w:rsidRPr="002D299E">
        <w:t>Application of the Unit</w:t>
      </w:r>
    </w:p>
    <w:tbl>
      <w:tblPr>
        <w:tblW w:w="9462" w:type="dxa"/>
        <w:tblLayout w:type="fixed"/>
        <w:tblCellMar>
          <w:left w:w="62" w:type="dxa"/>
          <w:right w:w="62" w:type="dxa"/>
        </w:tblCellMar>
        <w:tblLook w:val="0000"/>
      </w:tblPr>
      <w:tblGrid>
        <w:gridCol w:w="2663"/>
        <w:gridCol w:w="6799"/>
      </w:tblGrid>
      <w:tr w:rsidTr="002D299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Heading4"/>
              <w:rPr>
                <w:lang w:val="en-NZ"/>
              </w:rPr>
            </w:pPr>
            <w:r w:rsidRPr="002D299E">
              <w:t>Application of the unit</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This unit applies to the operation of spread</w:t>
            </w:r>
            <w:r w:rsidRPr="002D299E">
              <w:t>ing and seeding equipment used in wine grape growing. It includes the ability to attach, set up and detach equipment as required. The equipment only includes that which requires calibration. Spreading and seeding activities may include planting cover crops</w:t>
            </w:r>
            <w:r w:rsidRPr="002D299E">
              <w:t xml:space="preserve">, deep incorporation of ameliorants and fertilising. </w:t>
            </w:r>
          </w:p>
        </w:tc>
      </w:tr>
    </w:tbl>
    <w:p w:rsidR="0014275F" w:rsidP="002D299E">
      <w:pPr>
        <w:pStyle w:val="BodyText"/>
      </w:pPr>
    </w:p>
    <w:p w:rsidR="0014275F" w:rsidP="002D299E">
      <w:pPr>
        <w:pStyle w:val="BodyText"/>
      </w:pPr>
    </w:p>
    <w:p w:rsidR="00000000" w:rsidRPr="002D299E" w:rsidP="002D299E">
      <w:pPr>
        <w:pStyle w:val="Heading1"/>
      </w:pPr>
      <w:bookmarkStart w:id="4" w:name="O_462356"/>
      <w:bookmarkEnd w:id="4"/>
      <w:r w:rsidRPr="002D299E">
        <w:t>Licensing/Regulatory Information</w:t>
      </w:r>
    </w:p>
    <w:p w:rsidR="00000000" w:rsidRPr="002D299E" w:rsidP="002D299E">
      <w:pPr>
        <w:pStyle w:val="BodyText"/>
      </w:pPr>
      <w:r w:rsidRPr="002D299E">
        <w:t>Not applicable.</w:t>
      </w:r>
    </w:p>
    <w:p w:rsidR="00000000" w:rsidRPr="002D299E" w:rsidP="002D299E">
      <w:pPr>
        <w:pStyle w:val="AllowPageBreak"/>
      </w:pPr>
    </w:p>
    <w:p w:rsidR="00000000" w:rsidRPr="002D299E" w:rsidP="002D299E">
      <w:pPr>
        <w:pStyle w:val="Heading1"/>
      </w:pPr>
      <w:bookmarkStart w:id="5" w:name="O_462354"/>
      <w:bookmarkEnd w:id="5"/>
      <w:r w:rsidRPr="002D299E">
        <w:t>Pre-Requisites</w:t>
      </w:r>
    </w:p>
    <w:tbl>
      <w:tblPr>
        <w:tblW w:w="9462" w:type="dxa"/>
        <w:tblLayout w:type="fixed"/>
        <w:tblCellMar>
          <w:left w:w="62" w:type="dxa"/>
          <w:right w:w="62" w:type="dxa"/>
        </w:tblCellMar>
        <w:tblLook w:val="0000"/>
      </w:tblPr>
      <w:tblGrid>
        <w:gridCol w:w="2663"/>
        <w:gridCol w:w="1732"/>
        <w:gridCol w:w="5067"/>
      </w:tblGrid>
      <w:tr w:rsidTr="002D299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Heading4"/>
              <w:rPr>
                <w:lang w:val="en-NZ"/>
              </w:rPr>
            </w:pPr>
            <w:r w:rsidRPr="002D299E">
              <w:t>Prerequisite units</w:t>
            </w:r>
          </w:p>
        </w:tc>
        <w:tc>
          <w:tcPr>
            <w:tcW w:w="67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D299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AHCMOM202A</w:t>
            </w:r>
          </w:p>
        </w:tc>
        <w:tc>
          <w:tcPr>
            <w:tcW w:w="5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Operate tractors</w:t>
            </w:r>
          </w:p>
        </w:tc>
      </w:tr>
    </w:tbl>
    <w:p w:rsidR="0014275F" w:rsidP="002D299E">
      <w:pPr>
        <w:pStyle w:val="BodyText"/>
      </w:pPr>
    </w:p>
    <w:p w:rsidR="0014275F" w:rsidP="002D299E">
      <w:pPr>
        <w:pStyle w:val="BodyText"/>
      </w:pPr>
    </w:p>
    <w:p w:rsidR="00000000" w:rsidRPr="002D299E" w:rsidP="002D299E">
      <w:pPr>
        <w:pStyle w:val="Heading1"/>
      </w:pPr>
      <w:bookmarkStart w:id="6" w:name="O_462359"/>
      <w:bookmarkEnd w:id="6"/>
      <w:r w:rsidRPr="002D299E">
        <w:t>Employability Skills Information</w:t>
      </w:r>
    </w:p>
    <w:tbl>
      <w:tblPr>
        <w:tblW w:w="9462" w:type="dxa"/>
        <w:tblLayout w:type="fixed"/>
        <w:tblCellMar>
          <w:left w:w="62" w:type="dxa"/>
          <w:right w:w="62" w:type="dxa"/>
        </w:tblCellMar>
        <w:tblLook w:val="0000"/>
      </w:tblPr>
      <w:tblGrid>
        <w:gridCol w:w="2663"/>
        <w:gridCol w:w="6799"/>
      </w:tblGrid>
      <w:tr w:rsidTr="002D299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Heading4"/>
              <w:rPr>
                <w:lang w:val="en-NZ"/>
              </w:rPr>
            </w:pPr>
            <w:r w:rsidRPr="002D299E">
              <w:t>Employability skills</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 xml:space="preserve">This unit contains employability skills.  </w:t>
            </w:r>
          </w:p>
        </w:tc>
      </w:tr>
    </w:tbl>
    <w:p w:rsidR="0014275F" w:rsidP="002D299E">
      <w:pPr>
        <w:pStyle w:val="BodyText"/>
      </w:pPr>
    </w:p>
    <w:p w:rsidR="0014275F" w:rsidP="002D299E">
      <w:pPr>
        <w:pStyle w:val="BodyText"/>
      </w:pPr>
    </w:p>
    <w:p w:rsidR="00000000" w:rsidRPr="002D299E" w:rsidP="002D299E">
      <w:pPr>
        <w:pStyle w:val="Heading1"/>
      </w:pPr>
      <w:bookmarkStart w:id="7" w:name="O_462360"/>
      <w:bookmarkEnd w:id="7"/>
      <w:r w:rsidRPr="002D299E">
        <w:t>Elements and Performance Criteria Pre-Content</w:t>
      </w:r>
    </w:p>
    <w:tbl>
      <w:tblPr>
        <w:tblW w:w="9462" w:type="dxa"/>
        <w:tblLayout w:type="fixed"/>
        <w:tblCellMar>
          <w:left w:w="62" w:type="dxa"/>
          <w:right w:w="62" w:type="dxa"/>
        </w:tblCellMar>
        <w:tblLook w:val="0000"/>
      </w:tblPr>
      <w:tblGrid>
        <w:gridCol w:w="2700"/>
        <w:gridCol w:w="6762"/>
      </w:tblGrid>
      <w:tr w:rsidTr="002D29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299E">
            <w:pPr>
              <w:pStyle w:val="BodyText"/>
              <w:rPr>
                <w:lang w:val="en-NZ"/>
              </w:rPr>
            </w:pPr>
            <w:r w:rsidRPr="002D299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D299E" w:rsidP="002D299E">
            <w:pPr>
              <w:pStyle w:val="BodyText"/>
            </w:pPr>
            <w:r w:rsidRPr="002D299E">
              <w:t>Performance criteria descri</w:t>
            </w:r>
            <w:r w:rsidRPr="002D299E">
              <w:t>be the performance needed to demonstrate achievement of the element. Where bold italicised text is used, further information is detailed in the required skills and knowledge section and the range statement. Assessment of performance is to be consistent wit</w:t>
            </w:r>
            <w:r w:rsidRPr="002D299E">
              <w:t>h the evidence guide.</w:t>
            </w:r>
          </w:p>
        </w:tc>
      </w:tr>
    </w:tbl>
    <w:p w:rsidR="00000000" w:rsidRPr="002D299E" w:rsidP="002D299E">
      <w:pPr>
        <w:pStyle w:val="BodyText"/>
      </w:pPr>
    </w:p>
    <w:p w:rsidR="00000000" w:rsidRPr="002D299E" w:rsidP="002D299E">
      <w:pPr>
        <w:pStyle w:val="AllowPageBreak"/>
      </w:pPr>
    </w:p>
    <w:p w:rsidR="00000000" w:rsidRPr="002D299E" w:rsidP="002D299E">
      <w:pPr>
        <w:pStyle w:val="Heading1"/>
      </w:pPr>
      <w:bookmarkStart w:id="8" w:name="O_462361"/>
      <w:bookmarkEnd w:id="8"/>
      <w:r w:rsidRPr="002D299E">
        <w:t>Elements and Performance Criteria</w:t>
      </w:r>
    </w:p>
    <w:tbl>
      <w:tblPr>
        <w:tblW w:w="9462" w:type="dxa"/>
        <w:tblLayout w:type="fixed"/>
        <w:tblCellMar>
          <w:left w:w="62" w:type="dxa"/>
          <w:right w:w="62" w:type="dxa"/>
        </w:tblCellMar>
        <w:tblLook w:val="0000"/>
      </w:tblPr>
      <w:tblGrid>
        <w:gridCol w:w="2700"/>
        <w:gridCol w:w="6762"/>
      </w:tblGrid>
      <w:tr w:rsidTr="002D299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D299E">
            <w:pPr>
              <w:pStyle w:val="TableHeading"/>
              <w:rPr>
                <w:lang w:val="en-NZ"/>
              </w:rPr>
            </w:pPr>
            <w:r w:rsidRPr="002D299E">
              <w:t>ELEMENT</w:t>
            </w:r>
          </w:p>
        </w:tc>
        <w:tc>
          <w:tcPr>
            <w:tcW w:w="6762" w:type="dxa"/>
            <w:tcBorders>
              <w:top w:val="nil"/>
              <w:left w:val="nil"/>
              <w:bottom w:val="nil"/>
              <w:right w:val="nil"/>
            </w:tcBorders>
            <w:tcMar>
              <w:top w:w="0" w:type="dxa"/>
              <w:left w:w="62" w:type="dxa"/>
              <w:bottom w:w="0" w:type="dxa"/>
              <w:right w:w="62" w:type="dxa"/>
            </w:tcMar>
          </w:tcPr>
          <w:p w:rsidR="00000000" w:rsidP="002D299E">
            <w:pPr>
              <w:pStyle w:val="TableHeading"/>
              <w:rPr>
                <w:lang w:val="en-NZ"/>
              </w:rPr>
            </w:pPr>
            <w:r w:rsidRPr="002D299E">
              <w:t>PERFORMANCE CRITERIA</w:t>
            </w:r>
          </w:p>
        </w:tc>
      </w:tr>
      <w:tr w:rsidTr="002D29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299E">
            <w:pPr>
              <w:pStyle w:val="List"/>
              <w:rPr>
                <w:lang w:val="en-NZ"/>
              </w:rPr>
            </w:pPr>
            <w:r w:rsidRPr="002D299E">
              <w:t>1.</w:t>
            </w:r>
            <w:r w:rsidRPr="002D299E">
              <w:tab/>
              <w:t>Prepare equipment for operation</w:t>
            </w:r>
          </w:p>
        </w:tc>
        <w:tc>
          <w:tcPr>
            <w:tcW w:w="6762" w:type="dxa"/>
            <w:tcBorders>
              <w:top w:val="nil"/>
              <w:left w:val="nil"/>
              <w:bottom w:val="nil"/>
              <w:right w:val="nil"/>
            </w:tcBorders>
            <w:tcMar>
              <w:top w:w="0" w:type="dxa"/>
              <w:left w:w="62" w:type="dxa"/>
              <w:bottom w:w="0" w:type="dxa"/>
              <w:right w:w="62" w:type="dxa"/>
            </w:tcMar>
          </w:tcPr>
          <w:p w:rsidR="00000000" w:rsidRPr="002D299E" w:rsidP="002D299E">
            <w:pPr>
              <w:pStyle w:val="List"/>
            </w:pPr>
            <w:r w:rsidRPr="002D299E">
              <w:t>1.1</w:t>
            </w:r>
            <w:r w:rsidRPr="002D299E">
              <w:tab/>
              <w:t>Requirements are interpreted and confirmed</w:t>
            </w:r>
          </w:p>
          <w:p w:rsidR="00000000" w:rsidRPr="002D299E" w:rsidP="002D299E">
            <w:pPr>
              <w:pStyle w:val="List"/>
            </w:pPr>
            <w:r w:rsidRPr="002D299E">
              <w:t>1.2</w:t>
            </w:r>
            <w:r w:rsidRPr="002D299E">
              <w:tab/>
              <w:t>Materials are confirmed as available to meet requirements</w:t>
            </w:r>
          </w:p>
          <w:p w:rsidR="00000000" w:rsidRPr="002D299E" w:rsidP="002D299E">
            <w:pPr>
              <w:pStyle w:val="List"/>
            </w:pPr>
            <w:r w:rsidRPr="002D299E">
              <w:t>1.3</w:t>
            </w:r>
            <w:r w:rsidRPr="002D299E">
              <w:tab/>
            </w:r>
            <w:r w:rsidRPr="002D299E">
              <w:t>Materials are prepared to meet requirements</w:t>
            </w:r>
          </w:p>
          <w:p w:rsidR="00000000" w:rsidRPr="002D299E" w:rsidP="002D299E">
            <w:pPr>
              <w:pStyle w:val="List"/>
            </w:pPr>
            <w:r w:rsidRPr="002D299E">
              <w:t>1.4</w:t>
            </w:r>
            <w:r w:rsidRPr="002D299E">
              <w:tab/>
              <w:t>Equipment is checked to confirm readiness for use</w:t>
            </w:r>
          </w:p>
          <w:p w:rsidR="00000000" w:rsidP="002D299E">
            <w:pPr>
              <w:pStyle w:val="List"/>
              <w:rPr>
                <w:lang w:val="en-NZ"/>
              </w:rPr>
            </w:pPr>
            <w:r w:rsidRPr="002D299E">
              <w:t>1.5</w:t>
            </w:r>
            <w:r w:rsidRPr="002D299E">
              <w:tab/>
              <w:t>Equipment is attached and set up to meet application requirements</w:t>
            </w:r>
          </w:p>
        </w:tc>
      </w:tr>
      <w:tr w:rsidTr="002D29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299E">
            <w:pPr>
              <w:pStyle w:val="List"/>
              <w:rPr>
                <w:lang w:val="en-NZ"/>
              </w:rPr>
            </w:pPr>
            <w:r w:rsidRPr="002D299E">
              <w:t>2.</w:t>
            </w:r>
            <w:r w:rsidRPr="002D299E">
              <w:tab/>
              <w:t>Operate equipment</w:t>
            </w:r>
          </w:p>
        </w:tc>
        <w:tc>
          <w:tcPr>
            <w:tcW w:w="6762" w:type="dxa"/>
            <w:tcBorders>
              <w:top w:val="nil"/>
              <w:left w:val="nil"/>
              <w:bottom w:val="nil"/>
              <w:right w:val="nil"/>
            </w:tcBorders>
            <w:tcMar>
              <w:top w:w="0" w:type="dxa"/>
              <w:left w:w="62" w:type="dxa"/>
              <w:bottom w:w="0" w:type="dxa"/>
              <w:right w:w="62" w:type="dxa"/>
            </w:tcMar>
          </w:tcPr>
          <w:p w:rsidR="00000000" w:rsidRPr="002D299E" w:rsidP="002D299E">
            <w:pPr>
              <w:pStyle w:val="List"/>
            </w:pPr>
            <w:r w:rsidRPr="002D299E">
              <w:t>2.1</w:t>
            </w:r>
            <w:r w:rsidRPr="002D299E">
              <w:tab/>
              <w:t>Equipment is started up according to workplace procedures</w:t>
            </w:r>
          </w:p>
          <w:p w:rsidR="00000000" w:rsidRPr="002D299E" w:rsidP="002D299E">
            <w:pPr>
              <w:pStyle w:val="List"/>
            </w:pPr>
            <w:r w:rsidRPr="002D299E">
              <w:t>2.2</w:t>
            </w:r>
            <w:r w:rsidRPr="002D299E">
              <w:tab/>
            </w:r>
            <w:r w:rsidRPr="002D299E">
              <w:t>Equipment is operated according to workplace procedures</w:t>
            </w:r>
          </w:p>
          <w:p w:rsidR="00000000" w:rsidRPr="002D299E" w:rsidP="002D299E">
            <w:pPr>
              <w:pStyle w:val="List"/>
            </w:pPr>
            <w:r w:rsidRPr="002D299E">
              <w:t>2.3</w:t>
            </w:r>
            <w:r w:rsidRPr="002D299E">
              <w:tab/>
              <w:t>Equipment performance is monitored to confirm performance is maintained within specification</w:t>
            </w:r>
          </w:p>
          <w:p w:rsidR="00000000" w:rsidRPr="002D299E" w:rsidP="002D299E">
            <w:pPr>
              <w:pStyle w:val="List"/>
            </w:pPr>
            <w:r w:rsidRPr="002D299E">
              <w:t>2.4</w:t>
            </w:r>
            <w:r w:rsidRPr="002D299E">
              <w:tab/>
              <w:t>Out-of-specification equipment performance is identified, rectified and/or reported</w:t>
            </w:r>
          </w:p>
          <w:p w:rsidR="00000000" w:rsidRPr="002D299E" w:rsidP="002D299E">
            <w:pPr>
              <w:pStyle w:val="List"/>
            </w:pPr>
            <w:r w:rsidRPr="002D299E">
              <w:t>2.5</w:t>
            </w:r>
            <w:r w:rsidRPr="002D299E">
              <w:tab/>
            </w:r>
            <w:r w:rsidRPr="002D299E">
              <w:t>Materials are applied according to instructions</w:t>
            </w:r>
          </w:p>
          <w:p w:rsidR="00000000" w:rsidP="002D299E">
            <w:pPr>
              <w:pStyle w:val="List"/>
              <w:rPr>
                <w:lang w:val="en-NZ"/>
              </w:rPr>
            </w:pPr>
            <w:r w:rsidRPr="002D299E">
              <w:t>2.6</w:t>
            </w:r>
            <w:r w:rsidRPr="002D299E">
              <w:tab/>
              <w:t>Problems and anomalies are recognised, rectified and/or reported</w:t>
            </w:r>
          </w:p>
        </w:tc>
      </w:tr>
      <w:tr w:rsidTr="002D29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299E">
            <w:pPr>
              <w:pStyle w:val="List"/>
              <w:rPr>
                <w:lang w:val="en-NZ"/>
              </w:rPr>
            </w:pPr>
            <w:r w:rsidRPr="002D299E">
              <w:t>3.</w:t>
            </w:r>
            <w:r w:rsidRPr="002D299E">
              <w:tab/>
              <w:t>Shut down equipment</w:t>
            </w:r>
          </w:p>
        </w:tc>
        <w:tc>
          <w:tcPr>
            <w:tcW w:w="6762" w:type="dxa"/>
            <w:tcBorders>
              <w:top w:val="nil"/>
              <w:left w:val="nil"/>
              <w:bottom w:val="nil"/>
              <w:right w:val="nil"/>
            </w:tcBorders>
            <w:tcMar>
              <w:top w:w="0" w:type="dxa"/>
              <w:left w:w="62" w:type="dxa"/>
              <w:bottom w:w="0" w:type="dxa"/>
              <w:right w:w="62" w:type="dxa"/>
            </w:tcMar>
          </w:tcPr>
          <w:p w:rsidR="00000000" w:rsidRPr="002D299E" w:rsidP="002D299E">
            <w:pPr>
              <w:pStyle w:val="List"/>
            </w:pPr>
            <w:r w:rsidRPr="002D299E">
              <w:t>3.1</w:t>
            </w:r>
            <w:r w:rsidRPr="002D299E">
              <w:tab/>
              <w:t>Equipment is shut down according to workplace procedures</w:t>
            </w:r>
          </w:p>
          <w:p w:rsidR="00000000" w:rsidRPr="002D299E" w:rsidP="002D299E">
            <w:pPr>
              <w:pStyle w:val="List"/>
            </w:pPr>
            <w:r w:rsidRPr="002D299E">
              <w:t>3.2</w:t>
            </w:r>
            <w:r w:rsidRPr="002D299E">
              <w:tab/>
              <w:t>Equipment is cleaned and stored according to workp</w:t>
            </w:r>
            <w:r w:rsidRPr="002D299E">
              <w:t>lace procedures</w:t>
            </w:r>
          </w:p>
          <w:p w:rsidR="00000000" w:rsidRPr="002D299E" w:rsidP="002D299E">
            <w:pPr>
              <w:pStyle w:val="List"/>
            </w:pPr>
            <w:r w:rsidRPr="002D299E">
              <w:t>3.3</w:t>
            </w:r>
            <w:r w:rsidRPr="002D299E">
              <w:tab/>
              <w:t>Waste generated by the process is collected, treated, disposed of or recycled according to workplace procedure</w:t>
            </w:r>
          </w:p>
          <w:p w:rsidR="00000000" w:rsidP="002D299E">
            <w:pPr>
              <w:pStyle w:val="List"/>
              <w:rPr>
                <w:lang w:val="en-NZ"/>
              </w:rPr>
            </w:pPr>
            <w:r w:rsidRPr="002D299E">
              <w:t>3.4</w:t>
            </w:r>
            <w:r w:rsidRPr="002D299E">
              <w:tab/>
              <w:t>Work is conducted in accordance with workplace environmental guidelines</w:t>
            </w:r>
          </w:p>
        </w:tc>
      </w:tr>
      <w:tr w:rsidTr="002D29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299E">
            <w:pPr>
              <w:pStyle w:val="List"/>
              <w:rPr>
                <w:lang w:val="en-NZ"/>
              </w:rPr>
            </w:pPr>
            <w:r w:rsidRPr="002D299E">
              <w:t>4.</w:t>
            </w:r>
            <w:r w:rsidRPr="002D299E">
              <w:tab/>
              <w:t>Record information</w:t>
            </w:r>
          </w:p>
        </w:tc>
        <w:tc>
          <w:tcPr>
            <w:tcW w:w="6762" w:type="dxa"/>
            <w:tcBorders>
              <w:top w:val="nil"/>
              <w:left w:val="nil"/>
              <w:bottom w:val="nil"/>
              <w:right w:val="nil"/>
            </w:tcBorders>
            <w:tcMar>
              <w:top w:w="0" w:type="dxa"/>
              <w:left w:w="62" w:type="dxa"/>
              <w:bottom w:w="0" w:type="dxa"/>
              <w:right w:w="62" w:type="dxa"/>
            </w:tcMar>
          </w:tcPr>
          <w:p w:rsidR="00000000" w:rsidRPr="002D299E" w:rsidP="002D299E">
            <w:pPr>
              <w:pStyle w:val="List"/>
            </w:pPr>
            <w:r w:rsidRPr="002D299E">
              <w:t>4.1</w:t>
            </w:r>
            <w:r w:rsidRPr="002D299E">
              <w:tab/>
              <w:t xml:space="preserve">Workplace information </w:t>
            </w:r>
            <w:r w:rsidRPr="002D299E">
              <w:t>is recorded in the appropriate format</w:t>
            </w:r>
          </w:p>
        </w:tc>
      </w:tr>
    </w:tbl>
    <w:p w:rsidR="00000000" w:rsidRPr="002D299E" w:rsidP="002D299E">
      <w:pPr>
        <w:pStyle w:val="List"/>
      </w:pPr>
    </w:p>
    <w:p w:rsidR="00000000" w:rsidRPr="002D299E" w:rsidP="002D299E">
      <w:pPr>
        <w:pStyle w:val="AllowPageBreak"/>
      </w:pPr>
    </w:p>
    <w:p w:rsidR="00000000" w:rsidRPr="002D299E" w:rsidP="002D299E">
      <w:pPr>
        <w:pStyle w:val="Heading1"/>
      </w:pPr>
      <w:bookmarkStart w:id="9" w:name="O_462352"/>
      <w:bookmarkEnd w:id="9"/>
      <w:r w:rsidRPr="002D299E">
        <w:t>Required Skills and Knowledge</w:t>
      </w:r>
    </w:p>
    <w:tbl>
      <w:tblPr>
        <w:tblW w:w="9462" w:type="dxa"/>
        <w:tblLayout w:type="fixed"/>
        <w:tblCellMar>
          <w:left w:w="62" w:type="dxa"/>
          <w:right w:w="62" w:type="dxa"/>
        </w:tblCellMar>
        <w:tblLook w:val="0000"/>
      </w:tblPr>
      <w:tblGrid>
        <w:gridCol w:w="9462"/>
      </w:tblGrid>
      <w:tr w:rsidTr="002D29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299E">
            <w:pPr>
              <w:pStyle w:val="BodyText"/>
              <w:rPr>
                <w:lang w:val="en-NZ"/>
              </w:rPr>
            </w:pPr>
            <w:r w:rsidRPr="002D299E">
              <w:t>This section describes the skills and knowledge required for this unit.</w:t>
            </w:r>
          </w:p>
        </w:tc>
      </w:tr>
      <w:tr w:rsidTr="002D29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299E">
            <w:pPr>
              <w:pStyle w:val="TableHeading"/>
              <w:rPr>
                <w:lang w:val="en-NZ"/>
              </w:rPr>
            </w:pPr>
            <w:r w:rsidRPr="002D299E">
              <w:t>Required skills include:</w:t>
            </w:r>
          </w:p>
        </w:tc>
      </w:tr>
      <w:tr w:rsidTr="002D29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299E" w:rsidP="002D299E">
            <w:pPr>
              <w:pStyle w:val="BodyText"/>
            </w:pPr>
            <w:r w:rsidRPr="002D299E">
              <w:t>Note: The following required skills should be applied as appropriate to the equipment and processes that are used in the particular winery or workplace.</w:t>
            </w:r>
          </w:p>
          <w:p w:rsidR="00000000" w:rsidRPr="002D299E" w:rsidP="002D299E">
            <w:pPr>
              <w:pStyle w:val="BodyText"/>
            </w:pPr>
            <w:r w:rsidRPr="002D299E">
              <w:rPr>
                <w:rStyle w:val="SpecialBold"/>
              </w:rPr>
              <w:t>Ability to:</w:t>
            </w:r>
          </w:p>
          <w:p w:rsidR="00000000" w:rsidRPr="002D299E" w:rsidP="002D299E">
            <w:pPr>
              <w:pStyle w:val="ListBullet"/>
            </w:pPr>
            <w:r w:rsidRPr="002D299E">
              <w:t>access and interpret workplace information to identify seeding and spreading requirements</w:t>
            </w:r>
          </w:p>
          <w:p w:rsidR="00000000" w:rsidRPr="002D299E" w:rsidP="002D299E">
            <w:pPr>
              <w:pStyle w:val="ListBullet"/>
            </w:pPr>
            <w:r w:rsidRPr="002D299E">
              <w:t>select, fit and use appropriate personal protective clothing and/or equipment</w:t>
            </w:r>
          </w:p>
          <w:p w:rsidR="00000000" w:rsidRPr="002D299E" w:rsidP="002D299E">
            <w:pPr>
              <w:pStyle w:val="ListBullet"/>
            </w:pPr>
            <w:r w:rsidRPr="002D299E">
              <w:t>liaise with other work areas</w:t>
            </w:r>
          </w:p>
          <w:p w:rsidR="00000000" w:rsidRPr="002D299E" w:rsidP="002D299E">
            <w:pPr>
              <w:pStyle w:val="ListBullet"/>
            </w:pPr>
            <w:r w:rsidRPr="002D299E">
              <w:t>select appropriate equipment for the task</w:t>
            </w:r>
          </w:p>
          <w:p w:rsidR="00000000" w:rsidRPr="002D299E" w:rsidP="002D299E">
            <w:pPr>
              <w:pStyle w:val="ListBullet"/>
            </w:pPr>
            <w:r w:rsidRPr="002D299E">
              <w:t>confirm equipment status and condition. This may include checking:</w:t>
            </w:r>
          </w:p>
          <w:p w:rsidR="00000000" w:rsidRPr="002D299E" w:rsidP="002D299E">
            <w:pPr>
              <w:pStyle w:val="ListBullet2"/>
            </w:pPr>
            <w:r w:rsidRPr="002D299E">
              <w:t>belts and chains</w:t>
            </w:r>
          </w:p>
          <w:p w:rsidR="00000000" w:rsidRPr="002D299E" w:rsidP="002D299E">
            <w:pPr>
              <w:pStyle w:val="ListBullet2"/>
            </w:pPr>
            <w:r w:rsidRPr="002D299E">
              <w:t>lubricants</w:t>
            </w:r>
          </w:p>
          <w:p w:rsidR="00000000" w:rsidRPr="002D299E" w:rsidP="002D299E">
            <w:pPr>
              <w:pStyle w:val="ListBullet2"/>
            </w:pPr>
            <w:r w:rsidRPr="002D299E">
              <w:t>hydraulics</w:t>
            </w:r>
          </w:p>
          <w:p w:rsidR="00000000" w:rsidRPr="002D299E" w:rsidP="002D299E">
            <w:pPr>
              <w:pStyle w:val="ListBullet2"/>
            </w:pPr>
            <w:r w:rsidRPr="002D299E">
              <w:t>air intake</w:t>
            </w:r>
          </w:p>
          <w:p w:rsidR="00000000" w:rsidRPr="002D299E" w:rsidP="002D299E">
            <w:pPr>
              <w:pStyle w:val="ListBullet2"/>
            </w:pPr>
            <w:r w:rsidRPr="002D299E">
              <w:t>tyre pressure and wear</w:t>
            </w:r>
          </w:p>
          <w:p w:rsidR="00000000" w:rsidRPr="002D299E" w:rsidP="002D299E">
            <w:pPr>
              <w:pStyle w:val="ListBullet2"/>
            </w:pPr>
            <w:r w:rsidRPr="002D299E">
              <w:t>wear and tear</w:t>
            </w:r>
          </w:p>
          <w:p w:rsidR="00000000" w:rsidRPr="002D299E" w:rsidP="002D299E">
            <w:pPr>
              <w:pStyle w:val="ListBullet"/>
            </w:pPr>
            <w:r w:rsidRPr="002D299E">
              <w:t>attach, set up and calibrate equipment to meet application requirements</w:t>
            </w:r>
          </w:p>
          <w:p w:rsidR="00000000" w:rsidRPr="002D299E" w:rsidP="002D299E">
            <w:pPr>
              <w:pStyle w:val="ListBullet"/>
            </w:pPr>
            <w:r w:rsidRPr="002D299E">
              <w:t>select, prepare and load materials according to requirements</w:t>
            </w:r>
          </w:p>
          <w:p w:rsidR="00000000" w:rsidRPr="002D299E" w:rsidP="002D299E">
            <w:pPr>
              <w:pStyle w:val="ListBullet"/>
            </w:pPr>
            <w:r w:rsidRPr="002D299E">
              <w:t>start up equipment</w:t>
            </w:r>
          </w:p>
          <w:p w:rsidR="00000000" w:rsidRPr="002D299E" w:rsidP="002D299E">
            <w:pPr>
              <w:pStyle w:val="ListBullet"/>
            </w:pPr>
            <w:r w:rsidRPr="002D299E">
              <w:t xml:space="preserve">operate equipment to meet operating instructions. This </w:t>
            </w:r>
            <w:r w:rsidRPr="002D299E">
              <w:t>should include:</w:t>
            </w:r>
          </w:p>
          <w:p w:rsidR="00000000" w:rsidRPr="002D299E" w:rsidP="002D299E">
            <w:pPr>
              <w:pStyle w:val="ListBullet2"/>
            </w:pPr>
            <w:r w:rsidRPr="002D299E">
              <w:t>driving forward and reversing</w:t>
            </w:r>
          </w:p>
          <w:p w:rsidR="00000000" w:rsidRPr="002D299E" w:rsidP="002D299E">
            <w:pPr>
              <w:pStyle w:val="ListBullet2"/>
            </w:pPr>
            <w:r w:rsidRPr="002D299E">
              <w:t>operating in confined spaces</w:t>
            </w:r>
          </w:p>
          <w:p w:rsidR="00000000" w:rsidRPr="002D299E" w:rsidP="002D299E">
            <w:pPr>
              <w:pStyle w:val="ListBullet2"/>
            </w:pPr>
            <w:r w:rsidRPr="002D299E">
              <w:t>operating amongst other vineyard activities and a variety of conditions as required</w:t>
            </w:r>
          </w:p>
          <w:p w:rsidR="00000000" w:rsidRPr="002D299E" w:rsidP="002D299E">
            <w:pPr>
              <w:pStyle w:val="ListBullet"/>
            </w:pPr>
            <w:r w:rsidRPr="002D299E">
              <w:t>monitor equipment performance and application rates. This may include monitoring:</w:t>
            </w:r>
          </w:p>
          <w:p w:rsidR="00000000" w:rsidRPr="002D299E" w:rsidP="002D299E">
            <w:pPr>
              <w:pStyle w:val="ListBullet2"/>
            </w:pPr>
            <w:r w:rsidRPr="002D299E">
              <w:t>status and condition</w:t>
            </w:r>
          </w:p>
          <w:p w:rsidR="00000000" w:rsidRPr="002D299E" w:rsidP="002D299E">
            <w:pPr>
              <w:pStyle w:val="ListBullet2"/>
            </w:pPr>
            <w:r w:rsidRPr="002D299E">
              <w:t>handling and stopping</w:t>
            </w:r>
          </w:p>
          <w:p w:rsidR="00000000" w:rsidRPr="002D299E" w:rsidP="002D299E">
            <w:pPr>
              <w:pStyle w:val="ListBullet2"/>
            </w:pPr>
            <w:r w:rsidRPr="002D299E">
              <w:t>ground speed</w:t>
            </w:r>
          </w:p>
          <w:p w:rsidR="00000000" w:rsidRPr="002D299E" w:rsidP="002D299E">
            <w:pPr>
              <w:pStyle w:val="ListBullet2"/>
            </w:pPr>
            <w:r w:rsidRPr="002D299E">
              <w:t>actual versus expected usage of materials</w:t>
            </w:r>
          </w:p>
          <w:p w:rsidR="00000000" w:rsidRPr="002D299E" w:rsidP="002D299E">
            <w:pPr>
              <w:pStyle w:val="ListBullet2"/>
            </w:pPr>
            <w:r w:rsidRPr="002D299E">
              <w:t>ground coverage</w:t>
            </w:r>
          </w:p>
          <w:p w:rsidR="00000000" w:rsidRPr="002D299E" w:rsidP="002D299E">
            <w:pPr>
              <w:pStyle w:val="ListBullet2"/>
            </w:pPr>
            <w:r w:rsidRPr="002D299E">
              <w:t>blockages</w:t>
            </w:r>
          </w:p>
          <w:p w:rsidR="00000000" w:rsidRPr="002D299E" w:rsidP="002D299E">
            <w:pPr>
              <w:pStyle w:val="ListBullet2"/>
            </w:pPr>
            <w:r w:rsidRPr="002D299E">
              <w:t>environmental operating conditions</w:t>
            </w:r>
          </w:p>
          <w:p w:rsidR="00000000" w:rsidRPr="002D299E" w:rsidP="002D299E">
            <w:pPr>
              <w:pStyle w:val="ListBullet"/>
            </w:pPr>
            <w:r w:rsidRPr="002D299E">
              <w:t>apply materials according to instructions. This may include:</w:t>
            </w:r>
          </w:p>
          <w:p w:rsidR="00000000" w:rsidRPr="002D299E" w:rsidP="002D299E">
            <w:pPr>
              <w:pStyle w:val="ListBullet2"/>
            </w:pPr>
            <w:r w:rsidRPr="002D299E">
              <w:t>correct variety or type of seed an</w:t>
            </w:r>
            <w:r w:rsidRPr="002D299E">
              <w:t>d/or fertiliser</w:t>
            </w:r>
          </w:p>
          <w:p w:rsidR="00000000" w:rsidRPr="002D299E" w:rsidP="002D299E">
            <w:pPr>
              <w:pStyle w:val="ListBullet2"/>
            </w:pPr>
            <w:r w:rsidRPr="002D299E">
              <w:t>correct soil ameliorant and/or treatment</w:t>
            </w:r>
          </w:p>
          <w:p w:rsidR="00000000" w:rsidRPr="002D299E" w:rsidP="002D299E">
            <w:pPr>
              <w:pStyle w:val="ListBullet2"/>
            </w:pPr>
            <w:r w:rsidRPr="002D299E">
              <w:t>application rate</w:t>
            </w:r>
          </w:p>
          <w:p w:rsidR="00000000" w:rsidRPr="002D299E" w:rsidP="002D299E">
            <w:pPr>
              <w:pStyle w:val="ListBullet2"/>
            </w:pPr>
            <w:r w:rsidRPr="002D299E">
              <w:t>volume</w:t>
            </w:r>
          </w:p>
          <w:p w:rsidR="00000000" w:rsidRPr="002D299E" w:rsidP="002D299E">
            <w:pPr>
              <w:pStyle w:val="ListBullet2"/>
            </w:pPr>
            <w:r w:rsidRPr="002D299E">
              <w:t>application depth</w:t>
            </w:r>
          </w:p>
          <w:p w:rsidR="00000000" w:rsidRPr="002D299E" w:rsidP="002D299E">
            <w:pPr>
              <w:pStyle w:val="ListBullet2"/>
            </w:pPr>
            <w:r w:rsidRPr="002D299E">
              <w:t>density</w:t>
            </w:r>
          </w:p>
          <w:p w:rsidR="00000000" w:rsidRPr="002D299E" w:rsidP="002D299E">
            <w:pPr>
              <w:pStyle w:val="ListBullet2"/>
            </w:pPr>
            <w:r w:rsidRPr="002D299E">
              <w:t>coverage</w:t>
            </w:r>
          </w:p>
          <w:p w:rsidR="00000000" w:rsidRPr="002D299E" w:rsidP="002D299E">
            <w:pPr>
              <w:pStyle w:val="ListBullet"/>
            </w:pPr>
            <w:r w:rsidRPr="002D299E">
              <w:t>recognise equipment performance problems and amend and/or report as instructed</w:t>
            </w:r>
          </w:p>
          <w:p w:rsidR="00000000" w:rsidRPr="002D299E" w:rsidP="002D299E">
            <w:pPr>
              <w:pStyle w:val="ListBullet"/>
            </w:pPr>
            <w:r w:rsidRPr="002D299E">
              <w:t>handle hazardous materials according to occupational health and safety (OHS) requirements</w:t>
            </w:r>
          </w:p>
          <w:p w:rsidR="00000000" w:rsidRPr="002D299E" w:rsidP="002D299E">
            <w:pPr>
              <w:pStyle w:val="ListBullet"/>
            </w:pPr>
            <w:r w:rsidRPr="002D299E">
              <w:t>shut down equipment in response to an emergency situation</w:t>
            </w:r>
          </w:p>
          <w:p w:rsidR="00000000" w:rsidRPr="002D299E" w:rsidP="002D299E">
            <w:pPr>
              <w:pStyle w:val="ListBullet"/>
            </w:pPr>
            <w:r w:rsidRPr="002D299E">
              <w:t>shut down equipment in response to routine shutdown requirements</w:t>
            </w:r>
          </w:p>
          <w:p w:rsidR="00000000" w:rsidRPr="002D299E" w:rsidP="002D299E">
            <w:pPr>
              <w:pStyle w:val="ListBullet"/>
            </w:pPr>
            <w:r w:rsidRPr="002D299E">
              <w:t>collect, sort, treat, dispose of and/or rec</w:t>
            </w:r>
            <w:r w:rsidRPr="002D299E">
              <w:t>ycle waste</w:t>
            </w:r>
          </w:p>
          <w:p w:rsidR="00000000" w:rsidRPr="002D299E" w:rsidP="002D299E">
            <w:pPr>
              <w:pStyle w:val="ListBullet"/>
            </w:pPr>
            <w:r w:rsidRPr="002D299E">
              <w:t>identify, rectify and/or report environmental non-compliance</w:t>
            </w:r>
          </w:p>
          <w:p w:rsidR="00000000" w:rsidRPr="002D299E" w:rsidP="002D299E">
            <w:pPr>
              <w:pStyle w:val="ListBullet"/>
            </w:pPr>
            <w:r w:rsidRPr="002D299E">
              <w:t>clean equipment</w:t>
            </w:r>
          </w:p>
          <w:p w:rsidR="00000000" w:rsidRPr="002D299E" w:rsidP="002D299E">
            <w:pPr>
              <w:pStyle w:val="ListBullet"/>
            </w:pPr>
            <w:r w:rsidRPr="002D299E">
              <w:t>prepare equipment for storage</w:t>
            </w:r>
          </w:p>
          <w:p w:rsidR="00000000" w:rsidRPr="002D299E" w:rsidP="002D299E">
            <w:pPr>
              <w:pStyle w:val="ListBullet"/>
            </w:pPr>
            <w:r w:rsidRPr="002D299E">
              <w:t>store equipment according to workplace standards</w:t>
            </w:r>
          </w:p>
          <w:p w:rsidR="00000000" w:rsidRPr="002D299E" w:rsidP="002D299E">
            <w:pPr>
              <w:pStyle w:val="ListBullet"/>
            </w:pPr>
            <w:r w:rsidRPr="002D299E">
              <w:t>maintain work area to meet housekeeping standards</w:t>
            </w:r>
          </w:p>
          <w:p w:rsidR="00000000" w:rsidRPr="002D299E" w:rsidP="002D299E">
            <w:pPr>
              <w:pStyle w:val="ListBullet"/>
            </w:pPr>
            <w:r w:rsidRPr="002D299E">
              <w:t>maintain workplace records</w:t>
            </w:r>
          </w:p>
          <w:p w:rsidR="00000000" w:rsidRPr="002D299E" w:rsidP="002D299E">
            <w:pPr>
              <w:pStyle w:val="ListBullet"/>
            </w:pPr>
            <w:r w:rsidRPr="002D299E">
              <w:t>conduct routine maintenance of equipment according to enterprise procedures</w:t>
            </w:r>
          </w:p>
          <w:p w:rsidR="00000000" w:rsidRPr="002D299E" w:rsidP="002D299E">
            <w:pPr>
              <w:pStyle w:val="ListBullet"/>
            </w:pPr>
            <w:r w:rsidRPr="002D299E">
              <w:t>use oral communication skills/language to fulfil the job role as specified by the organisation, including questioning, active listening, asking for clarification and seeking advice</w:t>
            </w:r>
            <w:r w:rsidRPr="002D299E">
              <w:t xml:space="preserve"> from supervisor</w:t>
            </w:r>
          </w:p>
          <w:p w:rsidR="00000000" w:rsidP="002D299E">
            <w:pPr>
              <w:pStyle w:val="ListBullet"/>
              <w:rPr>
                <w:lang w:val="en-NZ"/>
              </w:rPr>
            </w:pPr>
            <w:r w:rsidRPr="002D299E">
              <w:t>work cooperatively within a culturally diverse workforce.</w:t>
            </w:r>
          </w:p>
        </w:tc>
      </w:tr>
      <w:tr w:rsidTr="002D29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299E">
            <w:pPr>
              <w:pStyle w:val="TableHeading"/>
              <w:rPr>
                <w:lang w:val="en-NZ"/>
              </w:rPr>
            </w:pPr>
            <w:r w:rsidRPr="002D299E">
              <w:t>Required knowledge includes:</w:t>
            </w:r>
          </w:p>
        </w:tc>
      </w:tr>
      <w:tr w:rsidTr="002D29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299E" w:rsidP="002D299E">
            <w:pPr>
              <w:pStyle w:val="BodyText"/>
            </w:pPr>
            <w:r w:rsidRPr="002D299E">
              <w:t>Note: The following required knowledge should be applied as appropriate to the equipment and processes that are used in the particular winery or workp</w:t>
            </w:r>
            <w:r w:rsidRPr="002D299E">
              <w:t>lace.</w:t>
            </w:r>
          </w:p>
          <w:p w:rsidR="00000000" w:rsidRPr="002D299E" w:rsidP="002D299E">
            <w:pPr>
              <w:pStyle w:val="BodyText"/>
            </w:pPr>
            <w:r w:rsidRPr="002D299E">
              <w:rPr>
                <w:rStyle w:val="SpecialBold"/>
              </w:rPr>
              <w:t>Knowledge of:</w:t>
            </w:r>
          </w:p>
          <w:p w:rsidR="00000000" w:rsidRPr="002D299E" w:rsidP="002D299E">
            <w:pPr>
              <w:pStyle w:val="ListBullet"/>
            </w:pPr>
            <w:r w:rsidRPr="002D299E">
              <w:t>the purpose and application of spreading and seeding operations within the vineyard growing system. This may include the purpose and application of:</w:t>
            </w:r>
          </w:p>
          <w:p w:rsidR="00000000" w:rsidRPr="002D299E" w:rsidP="002D299E">
            <w:pPr>
              <w:pStyle w:val="ListBullet2"/>
            </w:pPr>
            <w:r w:rsidRPr="002D299E">
              <w:t>soil ameliorants (e.g. pH, texture, and mulching treatments, e.g. structure)</w:t>
            </w:r>
          </w:p>
          <w:p w:rsidR="00000000" w:rsidRPr="002D299E" w:rsidP="002D299E">
            <w:pPr>
              <w:pStyle w:val="ListBullet2"/>
            </w:pPr>
            <w:r w:rsidRPr="002D299E">
              <w:t>inter-row cropping species and varieties</w:t>
            </w:r>
          </w:p>
          <w:p w:rsidR="00000000" w:rsidRPr="002D299E" w:rsidP="002D299E">
            <w:pPr>
              <w:pStyle w:val="ListBullet2"/>
            </w:pPr>
            <w:r w:rsidRPr="002D299E">
              <w:t>inter-row cropping practices and techniques</w:t>
            </w:r>
          </w:p>
          <w:p w:rsidR="00000000" w:rsidRPr="002D299E" w:rsidP="002D299E">
            <w:pPr>
              <w:pStyle w:val="ListBullet2"/>
            </w:pPr>
            <w:r w:rsidRPr="002D299E">
              <w:t>inorganic and organic fertilising materials</w:t>
            </w:r>
          </w:p>
          <w:p w:rsidR="00000000" w:rsidRPr="002D299E" w:rsidP="002D299E">
            <w:pPr>
              <w:pStyle w:val="ListBullet"/>
            </w:pPr>
            <w:r w:rsidRPr="002D299E">
              <w:t>process specifications, procedures and operating parameters</w:t>
            </w:r>
          </w:p>
          <w:p w:rsidR="00000000" w:rsidRPr="002D299E" w:rsidP="002D299E">
            <w:pPr>
              <w:pStyle w:val="ListBullet"/>
            </w:pPr>
            <w:r w:rsidRPr="002D299E">
              <w:t>purpose and operation of equipment and instrumentation components</w:t>
            </w:r>
          </w:p>
          <w:p w:rsidR="00000000" w:rsidRPr="002D299E" w:rsidP="002D299E">
            <w:pPr>
              <w:pStyle w:val="ListBullet"/>
            </w:pPr>
            <w:r w:rsidRPr="002D299E">
              <w:t>common causes of variation and corrective action required</w:t>
            </w:r>
          </w:p>
          <w:p w:rsidR="00000000" w:rsidRPr="002D299E" w:rsidP="002D299E">
            <w:pPr>
              <w:pStyle w:val="ListBullet"/>
            </w:pPr>
            <w:r w:rsidRPr="002D299E">
              <w:t>required weather conditions for activity</w:t>
            </w:r>
          </w:p>
          <w:p w:rsidR="00000000" w:rsidRPr="002D299E" w:rsidP="002D299E">
            <w:pPr>
              <w:pStyle w:val="ListBullet"/>
            </w:pPr>
            <w:r w:rsidRPr="002D299E">
              <w:t>soil characteristics as they apply to spreading and seeding operations. These may include:</w:t>
            </w:r>
          </w:p>
          <w:p w:rsidR="00000000" w:rsidRPr="002D299E" w:rsidP="002D299E">
            <w:pPr>
              <w:pStyle w:val="ListBullet2"/>
            </w:pPr>
            <w:r w:rsidRPr="002D299E">
              <w:t>structure</w:t>
            </w:r>
          </w:p>
          <w:p w:rsidR="00000000" w:rsidRPr="002D299E" w:rsidP="002D299E">
            <w:pPr>
              <w:pStyle w:val="ListBullet2"/>
            </w:pPr>
            <w:r w:rsidRPr="002D299E">
              <w:t>compaction</w:t>
            </w:r>
          </w:p>
          <w:p w:rsidR="00000000" w:rsidRPr="002D299E" w:rsidP="002D299E">
            <w:pPr>
              <w:pStyle w:val="ListBullet2"/>
            </w:pPr>
            <w:r w:rsidRPr="002D299E">
              <w:t>condition</w:t>
            </w:r>
          </w:p>
          <w:p w:rsidR="00000000" w:rsidRPr="002D299E" w:rsidP="002D299E">
            <w:pPr>
              <w:pStyle w:val="ListBullet2"/>
            </w:pPr>
            <w:r w:rsidRPr="002D299E">
              <w:t>texture</w:t>
            </w:r>
          </w:p>
          <w:p w:rsidR="00000000" w:rsidRPr="002D299E" w:rsidP="002D299E">
            <w:pPr>
              <w:pStyle w:val="ListBullet2"/>
            </w:pPr>
            <w:r w:rsidRPr="002D299E">
              <w:t>fertility and toxicity</w:t>
            </w:r>
          </w:p>
          <w:p w:rsidR="00000000" w:rsidRPr="002D299E" w:rsidP="002D299E">
            <w:pPr>
              <w:pStyle w:val="ListBullet2"/>
            </w:pPr>
            <w:r w:rsidRPr="002D299E">
              <w:t>moisture (e.g. too dry or waterlogged)</w:t>
            </w:r>
          </w:p>
          <w:p w:rsidR="00000000" w:rsidRPr="002D299E" w:rsidP="002D299E">
            <w:pPr>
              <w:pStyle w:val="ListBullet"/>
            </w:pPr>
            <w:r w:rsidRPr="002D299E">
              <w:t>significance and methods of monitoring equipment performance</w:t>
            </w:r>
          </w:p>
          <w:p w:rsidR="00000000" w:rsidRPr="002D299E" w:rsidP="002D299E">
            <w:pPr>
              <w:pStyle w:val="ListBullet"/>
            </w:pPr>
            <w:r w:rsidRPr="002D299E">
              <w:t>OHS hazards and controls</w:t>
            </w:r>
          </w:p>
          <w:p w:rsidR="00000000" w:rsidRPr="002D299E" w:rsidP="002D299E">
            <w:pPr>
              <w:pStyle w:val="ListBullet"/>
            </w:pPr>
            <w:r w:rsidRPr="002D299E">
              <w:t>material handling requirements</w:t>
            </w:r>
          </w:p>
          <w:p w:rsidR="00000000" w:rsidRPr="002D299E" w:rsidP="002D299E">
            <w:pPr>
              <w:pStyle w:val="ListBullet"/>
            </w:pPr>
            <w:r w:rsidRPr="002D299E">
              <w:t>lock-out and tag-out procedures</w:t>
            </w:r>
          </w:p>
          <w:p w:rsidR="00000000" w:rsidRPr="002D299E" w:rsidP="002D299E">
            <w:pPr>
              <w:pStyle w:val="ListBullet"/>
            </w:pPr>
            <w:r w:rsidRPr="002D299E">
              <w:t>procedures and responsibility for reporting problems</w:t>
            </w:r>
          </w:p>
          <w:p w:rsidR="00000000" w:rsidRPr="002D299E" w:rsidP="002D299E">
            <w:pPr>
              <w:pStyle w:val="ListBullet"/>
            </w:pPr>
            <w:r w:rsidRPr="002D299E">
              <w:t xml:space="preserve">reporting and </w:t>
            </w:r>
            <w:r w:rsidRPr="002D299E">
              <w:t>recording requirements and procedures</w:t>
            </w:r>
          </w:p>
          <w:p w:rsidR="00000000" w:rsidRPr="002D299E" w:rsidP="002D299E">
            <w:pPr>
              <w:pStyle w:val="ListBullet"/>
            </w:pPr>
            <w:r w:rsidRPr="002D299E">
              <w:t>environmental issues and controls</w:t>
            </w:r>
          </w:p>
          <w:p w:rsidR="00000000" w:rsidRPr="002D299E" w:rsidP="002D299E">
            <w:pPr>
              <w:pStyle w:val="ListBullet"/>
            </w:pPr>
            <w:r w:rsidRPr="002D299E">
              <w:t>cleaning requirements and procedures associated with changeovers and types of shutdowns</w:t>
            </w:r>
          </w:p>
          <w:p w:rsidR="00000000" w:rsidRPr="002D299E" w:rsidP="002D299E">
            <w:pPr>
              <w:pStyle w:val="ListBullet"/>
            </w:pPr>
            <w:r w:rsidRPr="002D299E">
              <w:t>storage requirements associated with temporary or seasonal breaks in activity</w:t>
            </w:r>
          </w:p>
          <w:p w:rsidR="00000000" w:rsidRPr="002D299E" w:rsidP="002D299E">
            <w:pPr>
              <w:pStyle w:val="ListBullet"/>
            </w:pPr>
            <w:r w:rsidRPr="002D299E">
              <w:t>storage procedures</w:t>
            </w:r>
            <w:r w:rsidRPr="002D299E">
              <w:t xml:space="preserve"> for equipment and materials</w:t>
            </w:r>
          </w:p>
          <w:p w:rsidR="00000000" w:rsidRPr="002D299E" w:rsidP="002D299E">
            <w:pPr>
              <w:pStyle w:val="ListBullet"/>
            </w:pPr>
            <w:r w:rsidRPr="002D299E">
              <w:t>shutdown sequence</w:t>
            </w:r>
          </w:p>
          <w:p w:rsidR="00000000" w:rsidRPr="002D299E" w:rsidP="002D299E">
            <w:pPr>
              <w:pStyle w:val="ListBullet"/>
            </w:pPr>
            <w:r w:rsidRPr="002D299E">
              <w:t>routine maintenance procedures for equipment where relevant.</w:t>
            </w:r>
          </w:p>
        </w:tc>
      </w:tr>
    </w:tbl>
    <w:p w:rsidR="00000000" w:rsidRPr="002D299E" w:rsidP="002D299E">
      <w:pPr>
        <w:pStyle w:val="BodyText"/>
      </w:pPr>
    </w:p>
    <w:p w:rsidR="00000000" w:rsidRPr="002D299E" w:rsidP="002D299E">
      <w:pPr>
        <w:pStyle w:val="AllowPageBreak"/>
      </w:pPr>
    </w:p>
    <w:p w:rsidR="00000000" w:rsidRPr="002D299E" w:rsidP="002D299E">
      <w:pPr>
        <w:pStyle w:val="Heading1"/>
      </w:pPr>
      <w:bookmarkStart w:id="10" w:name="O_462358"/>
      <w:bookmarkEnd w:id="10"/>
      <w:r w:rsidRPr="002D299E">
        <w:t>Evidence Guide</w:t>
      </w:r>
    </w:p>
    <w:tbl>
      <w:tblPr>
        <w:tblW w:w="9462" w:type="dxa"/>
        <w:tblLayout w:type="fixed"/>
        <w:tblCellMar>
          <w:left w:w="62" w:type="dxa"/>
          <w:right w:w="62" w:type="dxa"/>
        </w:tblCellMar>
        <w:tblLook w:val="0000"/>
      </w:tblPr>
      <w:tblGrid>
        <w:gridCol w:w="3800"/>
        <w:gridCol w:w="5662"/>
      </w:tblGrid>
      <w:tr w:rsidTr="002D299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299E">
            <w:pPr>
              <w:pStyle w:val="TableHeading"/>
              <w:rPr>
                <w:lang w:val="en-NZ"/>
              </w:rPr>
            </w:pPr>
            <w:r w:rsidRPr="002D299E">
              <w:t>EVIDENCE GUIDE</w:t>
            </w:r>
          </w:p>
        </w:tc>
      </w:tr>
      <w:tr w:rsidTr="002D29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The evidence guide provides advice on assessment and must be read in conjunction with the performance criteria, required skills and knowledge, range statement and the Assessment Guidelines for the Training Package.</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 xml:space="preserve">Assessment must </w:t>
            </w:r>
            <w:r w:rsidRPr="002D299E">
              <w:t>be carried out in a manner that recognises the cultural and literacy requirements of the assessee and is appropriate to the work performed. Competence in this unit must be achieved in accordance with food safety standards and regulations.</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Critical aspects</w:t>
            </w:r>
            <w:r w:rsidRPr="002D299E">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Evidence of ability to:</w:t>
            </w:r>
          </w:p>
          <w:p w:rsidR="00000000" w:rsidRPr="002D299E" w:rsidP="002D299E">
            <w:pPr>
              <w:pStyle w:val="ListBullet"/>
            </w:pPr>
            <w:r w:rsidRPr="002D299E">
              <w:t xml:space="preserve">use personal protective clothing and equipment </w:t>
            </w:r>
          </w:p>
          <w:p w:rsidR="00000000" w:rsidRPr="002D299E" w:rsidP="002D299E">
            <w:pPr>
              <w:pStyle w:val="ListBullet"/>
            </w:pPr>
            <w:r w:rsidRPr="002D299E">
              <w:t>confirm availability of specified materials and prepare according to instructions</w:t>
            </w:r>
          </w:p>
          <w:p w:rsidR="00000000" w:rsidRPr="002D299E" w:rsidP="002D299E">
            <w:pPr>
              <w:pStyle w:val="ListBullet"/>
            </w:pPr>
            <w:r w:rsidRPr="002D299E">
              <w:t>select and confirm status and suitability of equipment</w:t>
            </w:r>
          </w:p>
          <w:p w:rsidR="00000000" w:rsidRPr="002D299E" w:rsidP="002D299E">
            <w:pPr>
              <w:pStyle w:val="ListBullet"/>
            </w:pPr>
            <w:r w:rsidRPr="002D299E">
              <w:t>attach, set up and calibrate equipment to meet application requirements</w:t>
            </w:r>
          </w:p>
          <w:p w:rsidR="00000000" w:rsidRPr="002D299E" w:rsidP="002D299E">
            <w:pPr>
              <w:pStyle w:val="ListBullet"/>
            </w:pPr>
            <w:r w:rsidRPr="002D299E">
              <w:t>start and operate equipment in accordance with operation instructions and requirements of workplace and task</w:t>
            </w:r>
          </w:p>
          <w:p w:rsidR="00000000" w:rsidRPr="002D299E" w:rsidP="002D299E">
            <w:pPr>
              <w:pStyle w:val="ListBullet"/>
            </w:pPr>
            <w:r w:rsidRPr="002D299E">
              <w:t>monitor spreading or</w:t>
            </w:r>
            <w:r w:rsidRPr="002D299E">
              <w:t xml:space="preserve"> seeding operation to achieve specified result</w:t>
            </w:r>
          </w:p>
          <w:p w:rsidR="00000000" w:rsidRPr="002D299E" w:rsidP="002D299E">
            <w:pPr>
              <w:pStyle w:val="ListBullet"/>
            </w:pPr>
            <w:r w:rsidRPr="002D299E">
              <w:t>perform emergency and routine shutdowns</w:t>
            </w:r>
          </w:p>
          <w:p w:rsidR="00000000" w:rsidRPr="002D299E" w:rsidP="002D299E">
            <w:pPr>
              <w:pStyle w:val="ListBullet"/>
            </w:pPr>
            <w:r w:rsidRPr="002D299E">
              <w:t>take corrective action in response to out-of-specification results or non-compliance</w:t>
            </w:r>
          </w:p>
          <w:p w:rsidR="00000000" w:rsidRPr="002D299E" w:rsidP="002D299E">
            <w:pPr>
              <w:pStyle w:val="ListBullet"/>
            </w:pPr>
            <w:r w:rsidRPr="002D299E">
              <w:t>demonstrate knowledge of ohs hazards, controls and emergency procedures</w:t>
            </w:r>
          </w:p>
          <w:p w:rsidR="00000000" w:rsidRPr="002D299E" w:rsidP="002D299E">
            <w:pPr>
              <w:pStyle w:val="ListBullet"/>
            </w:pPr>
            <w:r w:rsidRPr="002D299E">
              <w:t>sort, collec</w:t>
            </w:r>
            <w:r w:rsidRPr="002D299E">
              <w:t>t, treat, recycle or dispose of waste</w:t>
            </w:r>
          </w:p>
          <w:p w:rsidR="00000000" w:rsidP="002D299E">
            <w:pPr>
              <w:pStyle w:val="ListBullet"/>
              <w:rPr>
                <w:lang w:val="en-NZ"/>
              </w:rPr>
            </w:pPr>
            <w:r w:rsidRPr="002D299E">
              <w:t>record information appropriately.</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Assessment must occur in a real or simulated workplace where the assessee has access to:</w:t>
            </w:r>
          </w:p>
          <w:p w:rsidR="00000000" w:rsidRPr="002D299E" w:rsidP="002D299E">
            <w:pPr>
              <w:pStyle w:val="ListBullet"/>
            </w:pPr>
            <w:r w:rsidRPr="002D299E">
              <w:t>personal protective clothing and equipment a</w:t>
            </w:r>
            <w:r w:rsidRPr="002D299E">
              <w:t>s required</w:t>
            </w:r>
          </w:p>
          <w:p w:rsidR="00000000" w:rsidRPr="002D299E" w:rsidP="002D299E">
            <w:pPr>
              <w:pStyle w:val="ListBullet"/>
            </w:pPr>
            <w:r w:rsidRPr="002D299E">
              <w:t>work procedures, including advice on company practices, safe work practices, food safety, quality and environmental requirements</w:t>
            </w:r>
          </w:p>
          <w:p w:rsidR="00000000" w:rsidRPr="002D299E" w:rsidP="002D299E">
            <w:pPr>
              <w:pStyle w:val="ListBullet"/>
            </w:pPr>
            <w:r w:rsidRPr="002D299E">
              <w:t>instructions, information, specifications and schedules as required</w:t>
            </w:r>
          </w:p>
          <w:p w:rsidR="00000000" w:rsidRPr="002D299E" w:rsidP="002D299E">
            <w:pPr>
              <w:pStyle w:val="ListBullet"/>
            </w:pPr>
            <w:r w:rsidRPr="002D299E">
              <w:t>equipment, services and corresponding information as required</w:t>
            </w:r>
          </w:p>
          <w:p w:rsidR="00000000" w:rsidRPr="002D299E" w:rsidP="002D299E">
            <w:pPr>
              <w:pStyle w:val="ListBullet"/>
            </w:pPr>
            <w:r w:rsidRPr="002D299E">
              <w:t>products and materials as required</w:t>
            </w:r>
          </w:p>
          <w:p w:rsidR="00000000" w:rsidRPr="002D299E" w:rsidP="002D299E">
            <w:pPr>
              <w:pStyle w:val="ListBullet"/>
            </w:pPr>
            <w:r w:rsidRPr="002D299E">
              <w:t>internal and external customers and suppliers as required</w:t>
            </w:r>
          </w:p>
          <w:p w:rsidR="00000000" w:rsidRPr="002D299E" w:rsidP="002D299E">
            <w:pPr>
              <w:pStyle w:val="ListBullet"/>
            </w:pPr>
            <w:r w:rsidRPr="002D299E">
              <w:t>cleaning procedures, materials and equipment as required</w:t>
            </w:r>
          </w:p>
          <w:p w:rsidR="00000000" w:rsidP="002D299E">
            <w:pPr>
              <w:pStyle w:val="ListBullet"/>
              <w:rPr>
                <w:lang w:val="en-NZ"/>
              </w:rPr>
            </w:pPr>
            <w:r w:rsidRPr="002D299E">
              <w:t>documentation and recording requirements and</w:t>
            </w:r>
            <w:r w:rsidRPr="002D299E">
              <w:t xml:space="preserve"> procedures.</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This unit should be assessed together with other units of competency relevant to the function or work role.</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To ensure consistency in one's performance, competence should be demonstrate</w:t>
            </w:r>
            <w:r w:rsidRPr="002D299E">
              <w:t>d on more than one occasion over a period of time in order to cover a variety of circumstances, cases and responsibilities, and where possible, over a number of assessment activities.</w:t>
            </w:r>
          </w:p>
        </w:tc>
      </w:tr>
    </w:tbl>
    <w:p w:rsidR="0014275F" w:rsidP="002D299E">
      <w:pPr>
        <w:pStyle w:val="BodyText"/>
      </w:pPr>
    </w:p>
    <w:p w:rsidR="0014275F" w:rsidP="002D299E">
      <w:pPr>
        <w:pStyle w:val="BodyText"/>
      </w:pPr>
    </w:p>
    <w:p w:rsidR="00000000" w:rsidRPr="002D299E" w:rsidP="002D299E">
      <w:pPr>
        <w:pStyle w:val="Heading1"/>
      </w:pPr>
      <w:bookmarkStart w:id="11" w:name="O_462353"/>
      <w:bookmarkEnd w:id="11"/>
      <w:r w:rsidRPr="002D299E">
        <w:t>Range Statement</w:t>
      </w:r>
    </w:p>
    <w:tbl>
      <w:tblPr>
        <w:tblW w:w="9462" w:type="dxa"/>
        <w:tblLayout w:type="fixed"/>
        <w:tblCellMar>
          <w:left w:w="62" w:type="dxa"/>
          <w:right w:w="62" w:type="dxa"/>
        </w:tblCellMar>
        <w:tblLook w:val="0000"/>
      </w:tblPr>
      <w:tblGrid>
        <w:gridCol w:w="3800"/>
        <w:gridCol w:w="5662"/>
      </w:tblGrid>
      <w:tr w:rsidTr="002D299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299E">
            <w:pPr>
              <w:pStyle w:val="TableHeading"/>
              <w:rPr>
                <w:lang w:val="en-NZ"/>
              </w:rPr>
            </w:pPr>
            <w:r w:rsidRPr="002D299E">
              <w:t>RANGE STATEMENT</w:t>
            </w:r>
          </w:p>
        </w:tc>
      </w:tr>
      <w:tr w:rsidTr="002D29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The range statement relates to the unit of competency as a whole. It allows for different work environments and situations that may affect performance. Bold italicised wording, if used in the performance criteria, is detailed below. Essential operating con</w:t>
            </w:r>
            <w:r w:rsidRPr="002D299E">
              <w:t>ditions that may be present with training and assessment (depending on the work situation, needs of the candidate, accessibility of the item, and local industry and regional contexts) may also be included.</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t>Work is carried out in a</w:t>
            </w:r>
            <w:r w:rsidRPr="002D299E">
              <w:t>ccordance with workplace procedures, licensing requirements and legislative requirements</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Workplace information can include:</w:t>
            </w:r>
          </w:p>
          <w:p w:rsidR="00000000" w:rsidRPr="002D299E" w:rsidP="002D299E">
            <w:pPr>
              <w:pStyle w:val="ListBullet"/>
            </w:pPr>
            <w:r w:rsidRPr="002D299E">
              <w:t>Standard Operating Procedures (SOPs)</w:t>
            </w:r>
          </w:p>
          <w:p w:rsidR="00000000" w:rsidRPr="002D299E" w:rsidP="002D299E">
            <w:pPr>
              <w:pStyle w:val="ListBullet"/>
            </w:pPr>
            <w:r w:rsidRPr="002D299E">
              <w:t>specifications</w:t>
            </w:r>
          </w:p>
          <w:p w:rsidR="00000000" w:rsidRPr="002D299E" w:rsidP="002D299E">
            <w:pPr>
              <w:pStyle w:val="ListBullet"/>
            </w:pPr>
            <w:r w:rsidRPr="002D299E">
              <w:t>production schedules</w:t>
            </w:r>
          </w:p>
          <w:p w:rsidR="00000000" w:rsidRPr="002D299E" w:rsidP="002D299E">
            <w:pPr>
              <w:pStyle w:val="ListBullet"/>
            </w:pPr>
            <w:r w:rsidRPr="002D299E">
              <w:t>instructions</w:t>
            </w:r>
          </w:p>
          <w:p w:rsidR="00000000" w:rsidRPr="002D299E" w:rsidP="002D299E">
            <w:pPr>
              <w:pStyle w:val="ListBullet"/>
            </w:pPr>
            <w:r w:rsidRPr="002D299E">
              <w:t>routine maintenance schedules</w:t>
            </w:r>
          </w:p>
          <w:p w:rsidR="00000000" w:rsidRPr="002D299E" w:rsidP="002D299E">
            <w:pPr>
              <w:pStyle w:val="ListBullet"/>
            </w:pPr>
            <w:r w:rsidRPr="002D299E">
              <w:t>work notes</w:t>
            </w:r>
          </w:p>
          <w:p w:rsidR="00000000" w:rsidRPr="002D299E" w:rsidP="002D299E">
            <w:pPr>
              <w:pStyle w:val="ListBullet"/>
            </w:pPr>
            <w:r w:rsidRPr="002D299E">
              <w:t>Material Safety Data Sheets (MSDS)</w:t>
            </w:r>
          </w:p>
          <w:p w:rsidR="00000000" w:rsidRPr="002D299E" w:rsidP="002D299E">
            <w:pPr>
              <w:pStyle w:val="ListBullet"/>
            </w:pPr>
            <w:r w:rsidRPr="002D299E">
              <w:t xml:space="preserve">manufacturer instructions </w:t>
            </w:r>
          </w:p>
          <w:p w:rsidR="00000000" w:rsidP="002D299E">
            <w:pPr>
              <w:pStyle w:val="ListBullet"/>
              <w:rPr>
                <w:lang w:val="en-NZ"/>
              </w:rPr>
            </w:pPr>
            <w:r w:rsidRPr="002D299E">
              <w:t>verbal direction from manager, supervisor or senior operator</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Spreading and seeding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Spreading and seeding activities may include:</w:t>
            </w:r>
          </w:p>
          <w:p w:rsidR="00000000" w:rsidRPr="002D299E" w:rsidP="002D299E">
            <w:pPr>
              <w:pStyle w:val="ListBullet"/>
            </w:pPr>
            <w:r w:rsidRPr="002D299E">
              <w:t>planting co</w:t>
            </w:r>
            <w:r w:rsidRPr="002D299E">
              <w:t>ver crops</w:t>
            </w:r>
          </w:p>
          <w:p w:rsidR="00000000" w:rsidP="002D299E">
            <w:pPr>
              <w:pStyle w:val="ListBullet"/>
              <w:rPr>
                <w:lang w:val="en-NZ"/>
              </w:rPr>
            </w:pPr>
            <w:r w:rsidRPr="002D299E">
              <w:t>deep incorporation of ameliorants and fertilising</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Equipment may include:</w:t>
            </w:r>
          </w:p>
          <w:p w:rsidR="00000000" w:rsidRPr="002D299E" w:rsidP="002D299E">
            <w:pPr>
              <w:pStyle w:val="ListBullet"/>
            </w:pPr>
            <w:r w:rsidRPr="002D299E">
              <w:t>seeders</w:t>
            </w:r>
          </w:p>
          <w:p w:rsidR="00000000" w:rsidP="002D299E">
            <w:pPr>
              <w:pStyle w:val="ListBullet"/>
              <w:rPr>
                <w:lang w:val="en-NZ"/>
              </w:rPr>
            </w:pPr>
            <w:r w:rsidRPr="002D299E">
              <w:t>spreaders (e.g. fertiliser and mulch)</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Terrain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Terrain must enable safe and effective operation of equipment. It may include:</w:t>
            </w:r>
          </w:p>
          <w:p w:rsidR="00000000" w:rsidRPr="002D299E" w:rsidP="002D299E">
            <w:pPr>
              <w:pStyle w:val="ListBullet"/>
            </w:pPr>
            <w:r w:rsidRPr="002D299E">
              <w:t>tracks</w:t>
            </w:r>
          </w:p>
          <w:p w:rsidR="00000000" w:rsidRPr="002D299E" w:rsidP="002D299E">
            <w:pPr>
              <w:pStyle w:val="ListBullet"/>
            </w:pPr>
            <w:r w:rsidRPr="002D299E">
              <w:t>access roads</w:t>
            </w:r>
          </w:p>
          <w:p w:rsidR="00000000" w:rsidRPr="002D299E" w:rsidP="002D299E">
            <w:pPr>
              <w:pStyle w:val="ListBullet"/>
            </w:pPr>
            <w:r w:rsidRPr="002D299E">
              <w:t>vineyard rows</w:t>
            </w:r>
          </w:p>
          <w:p w:rsidR="00000000" w:rsidRPr="002D299E" w:rsidP="002D299E">
            <w:pPr>
              <w:pStyle w:val="ListBullet"/>
            </w:pPr>
            <w:r w:rsidRPr="002D299E">
              <w:t>open paddocks</w:t>
            </w:r>
          </w:p>
          <w:p w:rsidR="00000000" w:rsidRPr="002D299E" w:rsidP="002D299E">
            <w:pPr>
              <w:pStyle w:val="ListBullet"/>
            </w:pPr>
            <w:r w:rsidRPr="002D299E">
              <w:t>flat, undulating, steep, hilly or terraced land</w:t>
            </w:r>
          </w:p>
          <w:p w:rsidR="00000000" w:rsidP="002D299E">
            <w:pPr>
              <w:pStyle w:val="ListBullet"/>
              <w:rPr>
                <w:lang w:val="en-NZ"/>
              </w:rPr>
            </w:pPr>
            <w:r w:rsidRPr="002D299E">
              <w:t>on- and off road environments</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Conditions must enable safe and effective operation of equipment. These may include:</w:t>
            </w:r>
          </w:p>
          <w:p w:rsidR="00000000" w:rsidRPr="002D299E" w:rsidP="002D299E">
            <w:pPr>
              <w:pStyle w:val="ListBullet"/>
            </w:pPr>
            <w:r w:rsidRPr="002D299E">
              <w:t>dry</w:t>
            </w:r>
          </w:p>
          <w:p w:rsidR="00000000" w:rsidRPr="002D299E" w:rsidP="002D299E">
            <w:pPr>
              <w:pStyle w:val="ListBullet"/>
            </w:pPr>
            <w:r w:rsidRPr="002D299E">
              <w:t>wet</w:t>
            </w:r>
          </w:p>
          <w:p w:rsidR="00000000" w:rsidRPr="002D299E" w:rsidP="002D299E">
            <w:pPr>
              <w:pStyle w:val="ListBullet"/>
            </w:pPr>
            <w:r w:rsidRPr="002D299E">
              <w:t>slippery</w:t>
            </w:r>
          </w:p>
          <w:p w:rsidR="00000000" w:rsidRPr="002D299E" w:rsidP="002D299E">
            <w:pPr>
              <w:pStyle w:val="ListBullet"/>
            </w:pPr>
            <w:r w:rsidRPr="002D299E">
              <w:t>boggy</w:t>
            </w:r>
          </w:p>
          <w:p w:rsidR="00000000" w:rsidRPr="002D299E" w:rsidP="002D299E">
            <w:pPr>
              <w:pStyle w:val="ListBullet"/>
            </w:pPr>
            <w:r w:rsidRPr="002D299E">
              <w:t>icy</w:t>
            </w:r>
          </w:p>
          <w:p w:rsidR="00000000" w:rsidRPr="002D299E" w:rsidP="002D299E">
            <w:pPr>
              <w:pStyle w:val="ListBullet"/>
            </w:pPr>
            <w:r w:rsidRPr="002D299E">
              <w:t>foggy</w:t>
            </w:r>
          </w:p>
          <w:p w:rsidR="00000000" w:rsidRPr="002D299E" w:rsidP="002D299E">
            <w:pPr>
              <w:pStyle w:val="ListBullet"/>
            </w:pPr>
            <w:r w:rsidRPr="002D299E">
              <w:t>windy</w:t>
            </w:r>
          </w:p>
          <w:p w:rsidR="00000000" w:rsidP="002D299E">
            <w:pPr>
              <w:pStyle w:val="ListBullet"/>
              <w:rPr>
                <w:lang w:val="en-NZ"/>
              </w:rPr>
            </w:pPr>
            <w:r w:rsidRPr="002D299E">
              <w:t>day and night conditions</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Loads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Loads, where applicable, may range from:</w:t>
            </w:r>
          </w:p>
          <w:p w:rsidR="00000000" w:rsidP="002D299E">
            <w:pPr>
              <w:pStyle w:val="ListBullet"/>
              <w:rPr>
                <w:lang w:val="en-NZ"/>
              </w:rPr>
            </w:pPr>
            <w:r w:rsidRPr="002D299E">
              <w:t>full to empty as required</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Confirming equipment status involves:</w:t>
            </w:r>
          </w:p>
          <w:p w:rsidR="00000000" w:rsidRPr="002D299E" w:rsidP="002D299E">
            <w:pPr>
              <w:pStyle w:val="ListBullet"/>
            </w:pPr>
            <w:r w:rsidRPr="002D299E">
              <w:t xml:space="preserve">checking that all safety standards and pre-start requirements are met and equipment </w:t>
            </w:r>
            <w:r w:rsidRPr="002D299E">
              <w:t>is operational</w:t>
            </w:r>
          </w:p>
          <w:p w:rsidR="00000000" w:rsidP="002D299E">
            <w:pPr>
              <w:pStyle w:val="ListBullet"/>
              <w:rPr>
                <w:lang w:val="en-NZ"/>
              </w:rPr>
            </w:pPr>
            <w:r w:rsidRPr="002D299E">
              <w:t>checking the operation and calibration of measuring instrumentation</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Information systems may be:</w:t>
            </w:r>
          </w:p>
          <w:p w:rsidR="00000000" w:rsidP="002D299E">
            <w:pPr>
              <w:pStyle w:val="ListBullet"/>
              <w:rPr>
                <w:lang w:val="en-NZ"/>
              </w:rPr>
            </w:pPr>
            <w:r w:rsidRPr="002D299E">
              <w:t>print or screen based</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Materials may include:</w:t>
            </w:r>
          </w:p>
          <w:p w:rsidR="00000000" w:rsidRPr="002D299E" w:rsidP="002D299E">
            <w:pPr>
              <w:pStyle w:val="ListBullet"/>
            </w:pPr>
            <w:r w:rsidRPr="002D299E">
              <w:t>organic and inorganic fertilisers</w:t>
            </w:r>
          </w:p>
          <w:p w:rsidR="00000000" w:rsidRPr="002D299E" w:rsidP="002D299E">
            <w:pPr>
              <w:pStyle w:val="ListBullet"/>
            </w:pPr>
            <w:r w:rsidRPr="002D299E">
              <w:t>gypsum</w:t>
            </w:r>
          </w:p>
          <w:p w:rsidR="00000000" w:rsidRPr="002D299E" w:rsidP="002D299E">
            <w:pPr>
              <w:pStyle w:val="ListBullet"/>
            </w:pPr>
            <w:r w:rsidRPr="002D299E">
              <w:t>lime</w:t>
            </w:r>
          </w:p>
          <w:p w:rsidR="00000000" w:rsidRPr="002D299E" w:rsidP="002D299E">
            <w:pPr>
              <w:pStyle w:val="ListBullet"/>
            </w:pPr>
            <w:r w:rsidRPr="002D299E">
              <w:t>seed</w:t>
            </w:r>
          </w:p>
          <w:p w:rsidR="00000000" w:rsidRPr="002D299E" w:rsidP="002D299E">
            <w:pPr>
              <w:pStyle w:val="ListBullet"/>
            </w:pPr>
            <w:r w:rsidRPr="002D299E">
              <w:t>ameliorants (e.g. grape marc)</w:t>
            </w:r>
          </w:p>
          <w:p w:rsidR="00000000" w:rsidP="002D299E">
            <w:pPr>
              <w:pStyle w:val="ListBullet"/>
              <w:rPr>
                <w:lang w:val="en-NZ"/>
              </w:rPr>
            </w:pPr>
            <w:r w:rsidRPr="002D299E">
              <w:t>mulch (e.g. straw)</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Waste may include:</w:t>
            </w:r>
          </w:p>
          <w:p w:rsidR="00000000" w:rsidRPr="002D299E" w:rsidP="002D299E">
            <w:pPr>
              <w:pStyle w:val="ListBullet"/>
            </w:pPr>
            <w:r w:rsidRPr="002D299E">
              <w:t>empty containers</w:t>
            </w:r>
          </w:p>
          <w:p w:rsidR="00000000" w:rsidRPr="002D299E" w:rsidP="002D299E">
            <w:pPr>
              <w:pStyle w:val="ListBullet"/>
            </w:pPr>
            <w:r w:rsidRPr="002D299E">
              <w:t>bags</w:t>
            </w:r>
          </w:p>
          <w:p w:rsidR="00000000" w:rsidRPr="002D299E" w:rsidP="002D299E">
            <w:pPr>
              <w:pStyle w:val="ListBullet"/>
            </w:pPr>
            <w:r w:rsidRPr="002D299E">
              <w:t xml:space="preserve">packaging materials </w:t>
            </w:r>
          </w:p>
          <w:p w:rsidR="00000000" w:rsidP="002D299E">
            <w:pPr>
              <w:pStyle w:val="ListBullet"/>
              <w:rPr>
                <w:lang w:val="en-NZ"/>
              </w:rPr>
            </w:pPr>
            <w:r w:rsidRPr="002D299E">
              <w:t>unused materials</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Problems and anomalies may include:</w:t>
            </w:r>
          </w:p>
          <w:p w:rsidR="00000000" w:rsidRPr="002D299E" w:rsidP="002D299E">
            <w:pPr>
              <w:pStyle w:val="ListBullet"/>
            </w:pPr>
            <w:r w:rsidRPr="002D299E">
              <w:t>equipment blockages</w:t>
            </w:r>
          </w:p>
          <w:p w:rsidR="00000000" w:rsidRPr="002D299E" w:rsidP="002D299E">
            <w:pPr>
              <w:pStyle w:val="ListBullet"/>
            </w:pPr>
            <w:r w:rsidRPr="002D299E">
              <w:t xml:space="preserve">uneven surfaces </w:t>
            </w:r>
          </w:p>
          <w:p w:rsidR="00000000" w:rsidP="002D299E">
            <w:pPr>
              <w:pStyle w:val="ListBullet"/>
              <w:rPr>
                <w:lang w:val="en-NZ"/>
              </w:rPr>
            </w:pPr>
            <w:r w:rsidRPr="002D299E">
              <w:t>size and flow of materials being applied</w:t>
            </w:r>
          </w:p>
        </w:tc>
      </w:tr>
      <w:tr w:rsidTr="002D29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BodyText"/>
              <w:rPr>
                <w:lang w:val="en-NZ"/>
              </w:rPr>
            </w:pPr>
            <w:r w:rsidRPr="002D299E">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Work may involve exposure to:</w:t>
            </w:r>
          </w:p>
          <w:p w:rsidR="00000000" w:rsidRPr="002D299E" w:rsidP="002D299E">
            <w:pPr>
              <w:pStyle w:val="ListBullet"/>
            </w:pPr>
            <w:r w:rsidRPr="002D299E">
              <w:t>chemical, dangerous or hazardous substances</w:t>
            </w:r>
          </w:p>
        </w:tc>
      </w:tr>
    </w:tbl>
    <w:p w:rsidR="00000000" w:rsidRPr="002D299E" w:rsidP="002D299E">
      <w:pPr>
        <w:pStyle w:val="BodyText"/>
      </w:pPr>
    </w:p>
    <w:p w:rsidR="00000000" w:rsidRPr="002D299E" w:rsidP="002D299E">
      <w:pPr>
        <w:pStyle w:val="AllowPageBreak"/>
      </w:pPr>
    </w:p>
    <w:p w:rsidR="00000000" w:rsidRPr="002D299E" w:rsidP="002D299E">
      <w:pPr>
        <w:pStyle w:val="Heading1"/>
      </w:pPr>
      <w:bookmarkStart w:id="12" w:name="O_462350"/>
      <w:bookmarkEnd w:id="12"/>
      <w:r w:rsidRPr="002D299E">
        <w:t>Unit Sector(s)</w:t>
      </w:r>
    </w:p>
    <w:tbl>
      <w:tblPr>
        <w:tblW w:w="9462" w:type="dxa"/>
        <w:tblLayout w:type="fixed"/>
        <w:tblCellMar>
          <w:left w:w="62" w:type="dxa"/>
          <w:right w:w="62" w:type="dxa"/>
        </w:tblCellMar>
        <w:tblLook w:val="0000"/>
      </w:tblPr>
      <w:tblGrid>
        <w:gridCol w:w="2663"/>
        <w:gridCol w:w="6799"/>
      </w:tblGrid>
      <w:tr w:rsidTr="002D299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9E">
            <w:pPr>
              <w:pStyle w:val="Heading4"/>
              <w:rPr>
                <w:lang w:val="en-NZ"/>
              </w:rPr>
            </w:pPr>
            <w:r w:rsidRPr="002D299E">
              <w:t>Unit sector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9E" w:rsidP="002D299E">
            <w:pPr>
              <w:pStyle w:val="BodyText"/>
            </w:pPr>
            <w:r w:rsidRPr="002D299E">
              <w:t>Wine operations</w:t>
            </w:r>
          </w:p>
        </w:tc>
      </w:tr>
    </w:tbl>
    <w:p w:rsidR="0014275F" w:rsidP="002D299E">
      <w:pPr>
        <w:pStyle w:val="BodyText"/>
      </w:pPr>
    </w:p>
    <w:p w:rsidR="0014275F" w:rsidP="002D299E">
      <w:pPr>
        <w:pStyle w:val="BodyText"/>
      </w:pPr>
    </w:p>
    <w:p w:rsidR="00000000" w:rsidRPr="002D299E" w:rsidP="002D299E">
      <w:pPr>
        <w:pStyle w:val="Heading1"/>
      </w:pPr>
      <w:bookmarkStart w:id="13" w:name="O_462362"/>
      <w:bookmarkEnd w:id="13"/>
      <w:r w:rsidRPr="002D299E">
        <w:t>Custom Content Section</w:t>
      </w:r>
    </w:p>
    <w:p w:rsidR="00000000" w:rsidRPr="002D299E" w:rsidP="002D299E">
      <w:pPr>
        <w:pStyle w:val="BodyText"/>
      </w:pPr>
      <w:r w:rsidRPr="002D299E">
        <w:t>Not applicable.</w:t>
      </w:r>
    </w:p>
    <w:p w:rsidR="00000000" w:rsidRPr="002D299E" w:rsidP="002D299E"/>
    <w:sectPr w:rsidSect="002D29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9E" w:rsidRPr="0014275F" w:rsidP="00142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5F" w:rsidP="002D2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275F" w:rsidP="002D299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14275F" w:rsidP="002D2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9E" w:rsidRPr="0014275F" w:rsidP="001427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5F" w:rsidRPr="002D2AF8" w:rsidP="002D299E">
    <w:pPr>
      <w:pStyle w:val="Header"/>
      <w:framePr w:wrap="around"/>
    </w:pPr>
    <w:r>
      <w:fldChar w:fldCharType="begin"/>
    </w:r>
    <w:r>
      <w:instrText xml:space="preserve"> TITLE   \* MERGEFORMAT </w:instrText>
    </w:r>
    <w:r>
      <w:fldChar w:fldCharType="separate"/>
    </w:r>
    <w:r>
      <w:t xml:space="preserve">FDFWGG3013A Operate spreading and seeding equipment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14275F" w:rsidP="002D2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120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28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EB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99E"/>
    <w:pPr>
      <w:spacing w:before="360" w:after="60"/>
      <w:outlineLvl w:val="0"/>
    </w:pPr>
    <w:rPr>
      <w:sz w:val="32"/>
    </w:rPr>
  </w:style>
  <w:style w:type="paragraph" w:styleId="Heading2">
    <w:name w:val="heading 2"/>
    <w:basedOn w:val="HeadingBase"/>
    <w:next w:val="BodyText"/>
    <w:link w:val="Heading2Char"/>
    <w:qFormat/>
    <w:rsid w:val="002D299E"/>
    <w:pPr>
      <w:keepLines/>
      <w:spacing w:before="240" w:after="120"/>
      <w:outlineLvl w:val="1"/>
    </w:pPr>
    <w:rPr>
      <w:sz w:val="28"/>
      <w:szCs w:val="40"/>
    </w:rPr>
  </w:style>
  <w:style w:type="paragraph" w:styleId="Heading3">
    <w:name w:val="heading 3"/>
    <w:basedOn w:val="HeadingBase"/>
    <w:next w:val="BodyText"/>
    <w:link w:val="Heading3Char"/>
    <w:qFormat/>
    <w:rsid w:val="002D299E"/>
    <w:pPr>
      <w:spacing w:before="180" w:after="120"/>
      <w:outlineLvl w:val="2"/>
    </w:pPr>
    <w:rPr>
      <w:spacing w:val="-10"/>
      <w:kern w:val="32"/>
    </w:rPr>
  </w:style>
  <w:style w:type="paragraph" w:styleId="Heading4">
    <w:name w:val="heading 4"/>
    <w:basedOn w:val="HeadingBase"/>
    <w:next w:val="BodyText"/>
    <w:link w:val="Heading4Char"/>
    <w:qFormat/>
    <w:rsid w:val="002D299E"/>
    <w:pPr>
      <w:spacing w:before="160" w:after="120"/>
      <w:outlineLvl w:val="3"/>
    </w:pPr>
    <w:rPr>
      <w:sz w:val="22"/>
    </w:rPr>
  </w:style>
  <w:style w:type="paragraph" w:styleId="Heading5">
    <w:name w:val="heading 5"/>
    <w:basedOn w:val="HeadingBase"/>
    <w:next w:val="Normal"/>
    <w:link w:val="Heading5Char"/>
    <w:qFormat/>
    <w:rsid w:val="002D299E"/>
    <w:pPr>
      <w:spacing w:before="80"/>
      <w:outlineLvl w:val="4"/>
    </w:pPr>
    <w:rPr>
      <w:color w:val="918585"/>
      <w:sz w:val="20"/>
    </w:rPr>
  </w:style>
  <w:style w:type="paragraph" w:styleId="Heading6">
    <w:name w:val="heading 6"/>
    <w:basedOn w:val="HeadingBase"/>
    <w:next w:val="Normal"/>
    <w:link w:val="Heading6Char"/>
    <w:qFormat/>
    <w:rsid w:val="002D299E"/>
    <w:pPr>
      <w:spacing w:before="60"/>
      <w:outlineLvl w:val="5"/>
    </w:pPr>
    <w:rPr>
      <w:color w:val="918585"/>
      <w:sz w:val="20"/>
    </w:rPr>
  </w:style>
  <w:style w:type="paragraph" w:styleId="Heading7">
    <w:name w:val="heading 7"/>
    <w:basedOn w:val="Normal"/>
    <w:next w:val="Normal"/>
    <w:link w:val="Heading7Char"/>
    <w:qFormat/>
    <w:rsid w:val="002D299E"/>
    <w:pPr>
      <w:ind w:left="720"/>
      <w:outlineLvl w:val="6"/>
    </w:pPr>
    <w:rPr>
      <w:i/>
    </w:rPr>
  </w:style>
  <w:style w:type="paragraph" w:styleId="Heading8">
    <w:name w:val="heading 8"/>
    <w:basedOn w:val="Normal"/>
    <w:next w:val="Normal"/>
    <w:link w:val="Heading8Char"/>
    <w:qFormat/>
    <w:rsid w:val="002D299E"/>
    <w:pPr>
      <w:ind w:left="720"/>
      <w:outlineLvl w:val="7"/>
    </w:pPr>
    <w:rPr>
      <w:i/>
    </w:rPr>
  </w:style>
  <w:style w:type="paragraph" w:styleId="Heading9">
    <w:name w:val="heading 9"/>
    <w:basedOn w:val="Normal"/>
    <w:next w:val="Normal"/>
    <w:link w:val="Heading9Char"/>
    <w:qFormat/>
    <w:rsid w:val="002D299E"/>
    <w:pPr>
      <w:ind w:left="720"/>
      <w:outlineLvl w:val="8"/>
    </w:pPr>
    <w:rPr>
      <w:i/>
    </w:rPr>
  </w:style>
  <w:style w:type="character" w:default="1" w:styleId="DefaultParagraphFont">
    <w:name w:val="Default Paragraph Font"/>
    <w:uiPriority w:val="1"/>
    <w:unhideWhenUsed/>
    <w:rsid w:val="002D2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99E"/>
  </w:style>
  <w:style w:type="character" w:customStyle="1" w:styleId="Heading1Char">
    <w:name w:val="Heading 1 Char"/>
    <w:basedOn w:val="DefaultParagraphFont"/>
    <w:link w:val="Heading1"/>
    <w:rsid w:val="002D29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D299E"/>
    <w:rPr>
      <w:rFonts w:ascii="Times New Roman" w:eastAsia="Times New Roman" w:hAnsi="Times New Roman" w:cs="Times New Roman"/>
      <w:b/>
      <w:szCs w:val="20"/>
      <w:lang w:eastAsia="en-US"/>
    </w:rPr>
  </w:style>
  <w:style w:type="paragraph" w:styleId="BodyText">
    <w:name w:val="Body Text"/>
    <w:basedOn w:val="Normal"/>
    <w:link w:val="BodyTextChar"/>
    <w:rsid w:val="002D29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299E"/>
    <w:rPr>
      <w:rFonts w:ascii="Times New Roman" w:eastAsia="Times New Roman" w:hAnsi="Times New Roman" w:cs="Times New Roman"/>
      <w:sz w:val="24"/>
      <w:lang w:eastAsia="en-US"/>
    </w:rPr>
  </w:style>
  <w:style w:type="paragraph" w:styleId="List">
    <w:name w:val="List"/>
    <w:basedOn w:val="BodyText"/>
    <w:next w:val="BodyText"/>
    <w:rsid w:val="002D299E"/>
    <w:pPr>
      <w:tabs>
        <w:tab w:val="left" w:pos="340"/>
      </w:tabs>
      <w:spacing w:before="60" w:after="60"/>
      <w:ind w:left="340" w:hanging="340"/>
    </w:pPr>
  </w:style>
  <w:style w:type="paragraph" w:styleId="ListBullet">
    <w:name w:val="List Bullet"/>
    <w:basedOn w:val="List"/>
    <w:rsid w:val="002D299E"/>
    <w:pPr>
      <w:numPr>
        <w:numId w:val="13"/>
      </w:numPr>
      <w:tabs>
        <w:tab w:val="clear" w:pos="340"/>
      </w:tabs>
      <w:spacing w:before="40" w:after="40"/>
    </w:pPr>
  </w:style>
  <w:style w:type="character" w:customStyle="1" w:styleId="SpecialBold">
    <w:name w:val="Special Bold"/>
    <w:basedOn w:val="DefaultParagraphFont"/>
    <w:rsid w:val="002D299E"/>
    <w:rPr>
      <w:b/>
      <w:spacing w:val="0"/>
    </w:rPr>
  </w:style>
  <w:style w:type="paragraph" w:styleId="ListBullet2">
    <w:name w:val="List Bullet 2"/>
    <w:basedOn w:val="List2"/>
    <w:rsid w:val="002D299E"/>
    <w:pPr>
      <w:numPr>
        <w:numId w:val="14"/>
      </w:numPr>
      <w:tabs>
        <w:tab w:val="clear" w:pos="680"/>
      </w:tabs>
    </w:pPr>
  </w:style>
  <w:style w:type="paragraph" w:customStyle="1" w:styleId="SuperHeading">
    <w:name w:val="SuperHeading"/>
    <w:basedOn w:val="Normal"/>
    <w:rsid w:val="002D299E"/>
    <w:pPr>
      <w:spacing w:before="240" w:after="120"/>
      <w:outlineLvl w:val="0"/>
    </w:pPr>
    <w:rPr>
      <w:rFonts w:ascii="Times New Roman" w:hAnsi="Times New Roman"/>
      <w:b/>
      <w:sz w:val="32"/>
    </w:rPr>
  </w:style>
  <w:style w:type="paragraph" w:customStyle="1" w:styleId="TableHeading">
    <w:name w:val="Table Heading"/>
    <w:basedOn w:val="HeadingBase"/>
    <w:rsid w:val="002D299E"/>
    <w:pPr>
      <w:keepLines/>
      <w:pBdr>
        <w:bottom w:val="single" w:sz="6" w:space="1" w:color="918585"/>
      </w:pBdr>
      <w:spacing w:before="240"/>
    </w:pPr>
  </w:style>
  <w:style w:type="paragraph" w:customStyle="1" w:styleId="AllowPageBreak">
    <w:name w:val="AllowPageBreak"/>
    <w:rsid w:val="002D2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9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D2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99E"/>
    <w:rPr>
      <w:rFonts w:ascii="Courier New" w:eastAsia="Times New Roman" w:hAnsi="Courier New" w:cs="Times New Roman"/>
      <w:i/>
      <w:szCs w:val="20"/>
      <w:lang w:eastAsia="en-US"/>
    </w:rPr>
  </w:style>
  <w:style w:type="paragraph" w:customStyle="1" w:styleId="HeadingBase">
    <w:name w:val="Heading Base"/>
    <w:rsid w:val="002D2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99E"/>
    <w:pPr>
      <w:tabs>
        <w:tab w:val="right" w:leader="dot" w:pos="9072"/>
      </w:tabs>
      <w:ind w:left="567"/>
    </w:pPr>
    <w:rPr>
      <w:szCs w:val="22"/>
    </w:rPr>
  </w:style>
  <w:style w:type="paragraph" w:customStyle="1" w:styleId="TOCBase">
    <w:name w:val="TOC Base"/>
    <w:rsid w:val="002D2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99E"/>
    <w:pPr>
      <w:tabs>
        <w:tab w:val="right" w:leader="dot" w:pos="9072"/>
      </w:tabs>
      <w:spacing w:before="40" w:after="40"/>
      <w:ind w:left="284"/>
    </w:pPr>
    <w:rPr>
      <w:rFonts w:ascii="Times New Roman" w:hAnsi="Times New Roman"/>
    </w:rPr>
  </w:style>
  <w:style w:type="paragraph" w:styleId="TOC1">
    <w:name w:val="toc 1"/>
    <w:basedOn w:val="TOCBase"/>
    <w:next w:val="Normal"/>
    <w:rsid w:val="002D2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99E"/>
    <w:rPr>
      <w:rFonts w:ascii="Times New Roman" w:eastAsia="Times New Roman" w:hAnsi="Times New Roman" w:cs="Times New Roman"/>
      <w:sz w:val="16"/>
      <w:lang w:eastAsia="en-US"/>
    </w:rPr>
  </w:style>
  <w:style w:type="paragraph" w:styleId="Title">
    <w:name w:val="Title"/>
    <w:basedOn w:val="HeadingBase"/>
    <w:link w:val="TitleChar"/>
    <w:qFormat/>
    <w:rsid w:val="002D299E"/>
    <w:pPr>
      <w:spacing w:before="5040"/>
      <w:jc w:val="center"/>
    </w:pPr>
    <w:rPr>
      <w:sz w:val="48"/>
      <w:szCs w:val="72"/>
      <w:lang w:val="en-US"/>
    </w:rPr>
  </w:style>
  <w:style w:type="character" w:customStyle="1" w:styleId="TitleChar">
    <w:name w:val="Title Char"/>
    <w:basedOn w:val="DefaultParagraphFont"/>
    <w:link w:val="Title"/>
    <w:rsid w:val="002D2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99E"/>
    <w:pPr>
      <w:tabs>
        <w:tab w:val="left" w:pos="3600"/>
        <w:tab w:val="left" w:pos="3958"/>
      </w:tabs>
    </w:pPr>
  </w:style>
  <w:style w:type="paragraph" w:customStyle="1" w:styleId="Note">
    <w:name w:val="Note"/>
    <w:basedOn w:val="BodyText"/>
    <w:rsid w:val="002D2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99E"/>
    <w:pPr>
      <w:framePr w:wrap="auto" w:hAnchor="text" w:y="6049"/>
    </w:pPr>
    <w:rPr>
      <w:color w:val="000000"/>
      <w:sz w:val="40"/>
    </w:rPr>
  </w:style>
  <w:style w:type="paragraph" w:customStyle="1" w:styleId="TOCTitle">
    <w:name w:val="TOCTitle"/>
    <w:basedOn w:val="Heading1"/>
    <w:rsid w:val="002D299E"/>
    <w:pPr>
      <w:spacing w:after="240"/>
      <w:jc w:val="center"/>
      <w:outlineLvl w:val="9"/>
    </w:pPr>
    <w:rPr>
      <w:caps/>
    </w:rPr>
  </w:style>
  <w:style w:type="paragraph" w:customStyle="1" w:styleId="Version">
    <w:name w:val="Version"/>
    <w:rsid w:val="002D2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99E"/>
    <w:pPr>
      <w:keepNext w:val="0"/>
      <w:tabs>
        <w:tab w:val="right" w:pos="4176"/>
      </w:tabs>
      <w:ind w:left="198" w:hanging="198"/>
    </w:pPr>
    <w:rPr>
      <w:rFonts w:ascii="Garamond" w:hAnsi="Garamond"/>
    </w:rPr>
  </w:style>
  <w:style w:type="paragraph" w:styleId="IndexHeading">
    <w:name w:val="index heading"/>
    <w:basedOn w:val="Normal"/>
    <w:next w:val="Index1"/>
    <w:semiHidden/>
    <w:rsid w:val="002D299E"/>
    <w:pPr>
      <w:spacing w:before="120" w:after="120"/>
    </w:pPr>
    <w:rPr>
      <w:rFonts w:ascii="Arial" w:hAnsi="Arial"/>
      <w:b/>
      <w:color w:val="918585"/>
      <w:sz w:val="24"/>
    </w:rPr>
  </w:style>
  <w:style w:type="paragraph" w:styleId="Header">
    <w:name w:val="header"/>
    <w:basedOn w:val="Normal"/>
    <w:link w:val="HeaderChar"/>
    <w:rsid w:val="002D2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99E"/>
    <w:rPr>
      <w:rFonts w:ascii="Times New Roman" w:eastAsia="Times New Roman" w:hAnsi="Times New Roman" w:cs="Times New Roman"/>
      <w:sz w:val="16"/>
      <w:szCs w:val="20"/>
      <w:lang w:val="en-GB" w:eastAsia="en-US"/>
    </w:rPr>
  </w:style>
  <w:style w:type="paragraph" w:customStyle="1" w:styleId="Chapter">
    <w:name w:val="Chapter"/>
    <w:basedOn w:val="Normal"/>
    <w:rsid w:val="002D299E"/>
    <w:pPr>
      <w:spacing w:before="240"/>
    </w:pPr>
    <w:rPr>
      <w:rFonts w:ascii="Times New Roman" w:hAnsi="Times New Roman"/>
      <w:smallCaps/>
      <w:spacing w:val="80"/>
      <w:sz w:val="28"/>
    </w:rPr>
  </w:style>
  <w:style w:type="paragraph" w:customStyle="1" w:styleId="InChapter">
    <w:name w:val="InChapter"/>
    <w:basedOn w:val="Heading3"/>
    <w:rsid w:val="002D299E"/>
    <w:pPr>
      <w:spacing w:after="240"/>
      <w:outlineLvl w:val="9"/>
    </w:pPr>
    <w:rPr>
      <w:noProof/>
    </w:rPr>
  </w:style>
  <w:style w:type="paragraph" w:styleId="Index2">
    <w:name w:val="index 2"/>
    <w:basedOn w:val="Normal"/>
    <w:next w:val="Normal"/>
    <w:semiHidden/>
    <w:rsid w:val="002D299E"/>
    <w:pPr>
      <w:tabs>
        <w:tab w:val="right" w:pos="4176"/>
      </w:tabs>
      <w:ind w:left="568" w:hanging="284"/>
    </w:pPr>
    <w:rPr>
      <w:rFonts w:ascii="Garamond" w:hAnsi="Garamond"/>
    </w:rPr>
  </w:style>
  <w:style w:type="paragraph" w:customStyle="1" w:styleId="Byline">
    <w:name w:val="Byline"/>
    <w:rsid w:val="002D2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99E"/>
    <w:pPr>
      <w:tabs>
        <w:tab w:val="clear" w:pos="3600"/>
        <w:tab w:val="clear" w:pos="3958"/>
      </w:tabs>
      <w:jc w:val="right"/>
    </w:pPr>
  </w:style>
  <w:style w:type="character" w:styleId="Emphasis">
    <w:name w:val="Emphasis"/>
    <w:basedOn w:val="DefaultParagraphFont"/>
    <w:qFormat/>
    <w:rsid w:val="002D299E"/>
    <w:rPr>
      <w:i/>
    </w:rPr>
  </w:style>
  <w:style w:type="paragraph" w:styleId="Caption">
    <w:name w:val="caption"/>
    <w:basedOn w:val="BodyText"/>
    <w:next w:val="Normal"/>
    <w:qFormat/>
    <w:rsid w:val="002D299E"/>
    <w:pPr>
      <w:framePr w:w="2268" w:hSpace="181" w:vSpace="181" w:wrap="around" w:vAnchor="text" w:hAnchor="page" w:x="1135" w:y="285" w:anchorLock="1"/>
    </w:pPr>
    <w:rPr>
      <w:i/>
    </w:rPr>
  </w:style>
  <w:style w:type="paragraph" w:customStyle="1" w:styleId="MiniTOCTitle">
    <w:name w:val="MiniTOCTitle"/>
    <w:basedOn w:val="Heading4"/>
    <w:rsid w:val="002D299E"/>
    <w:pPr>
      <w:spacing w:before="240"/>
      <w:outlineLvl w:val="9"/>
    </w:pPr>
    <w:rPr>
      <w:noProof/>
      <w:sz w:val="24"/>
    </w:rPr>
  </w:style>
  <w:style w:type="paragraph" w:customStyle="1" w:styleId="MiniTOCItem">
    <w:name w:val="MiniTOCItem"/>
    <w:basedOn w:val="ListBullet"/>
    <w:rsid w:val="002D299E"/>
    <w:pPr>
      <w:numPr>
        <w:numId w:val="0"/>
      </w:numPr>
      <w:tabs>
        <w:tab w:val="right" w:leader="dot" w:pos="6521"/>
      </w:tabs>
      <w:spacing w:before="0" w:after="0"/>
    </w:pPr>
  </w:style>
  <w:style w:type="paragraph" w:customStyle="1" w:styleId="TOFTitle">
    <w:name w:val="TOFTitle"/>
    <w:basedOn w:val="TOCTitle"/>
    <w:rsid w:val="002D299E"/>
  </w:style>
  <w:style w:type="paragraph" w:styleId="TableofFigures">
    <w:name w:val="table of figures"/>
    <w:basedOn w:val="Normal"/>
    <w:next w:val="Normal"/>
    <w:semiHidden/>
    <w:rsid w:val="002D299E"/>
    <w:pPr>
      <w:tabs>
        <w:tab w:val="right" w:leader="dot" w:pos="9072"/>
      </w:tabs>
      <w:ind w:left="970" w:hanging="403"/>
    </w:pPr>
    <w:rPr>
      <w:rFonts w:ascii="Times New Roman" w:hAnsi="Times New Roman"/>
      <w:b/>
    </w:rPr>
  </w:style>
  <w:style w:type="paragraph" w:styleId="ListNumber">
    <w:name w:val="List Number"/>
    <w:basedOn w:val="List"/>
    <w:rsid w:val="002D299E"/>
    <w:pPr>
      <w:numPr>
        <w:numId w:val="11"/>
      </w:numPr>
    </w:pPr>
  </w:style>
  <w:style w:type="character" w:customStyle="1" w:styleId="WingdingSymbols">
    <w:name w:val="Wingding Symbols"/>
    <w:rsid w:val="002D299E"/>
    <w:rPr>
      <w:rFonts w:ascii="Wingdings" w:hAnsi="Wingdings"/>
    </w:rPr>
  </w:style>
  <w:style w:type="character" w:customStyle="1" w:styleId="HotSpot">
    <w:name w:val="HotSpot"/>
    <w:rsid w:val="002D299E"/>
    <w:rPr>
      <w:color w:val="0033CC"/>
      <w:u w:val="none"/>
    </w:rPr>
  </w:style>
  <w:style w:type="paragraph" w:customStyle="1" w:styleId="BodyTextRight">
    <w:name w:val="Body Text Right"/>
    <w:basedOn w:val="BodyText"/>
    <w:rsid w:val="002D299E"/>
    <w:pPr>
      <w:spacing w:before="0" w:after="0"/>
      <w:jc w:val="right"/>
    </w:pPr>
  </w:style>
  <w:style w:type="paragraph" w:styleId="Index3">
    <w:name w:val="index 3"/>
    <w:basedOn w:val="ListNumber2"/>
    <w:next w:val="Normal"/>
    <w:semiHidden/>
    <w:rsid w:val="002D299E"/>
    <w:pPr>
      <w:numPr>
        <w:numId w:val="0"/>
      </w:numPr>
      <w:tabs>
        <w:tab w:val="right" w:leader="dot" w:pos="4176"/>
      </w:tabs>
    </w:pPr>
  </w:style>
  <w:style w:type="paragraph" w:styleId="ListNumber2">
    <w:name w:val="List Number 2"/>
    <w:basedOn w:val="List2"/>
    <w:rsid w:val="002D299E"/>
    <w:pPr>
      <w:numPr>
        <w:numId w:val="10"/>
      </w:numPr>
      <w:tabs>
        <w:tab w:val="clear" w:pos="1060"/>
      </w:tabs>
    </w:pPr>
  </w:style>
  <w:style w:type="paragraph" w:customStyle="1" w:styleId="MarginNote">
    <w:name w:val="Margin Note"/>
    <w:basedOn w:val="BodyText"/>
    <w:rsid w:val="002D2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99E"/>
    <w:rPr>
      <w:sz w:val="32"/>
    </w:rPr>
  </w:style>
  <w:style w:type="paragraph" w:customStyle="1" w:styleId="HeadingProcedure">
    <w:name w:val="Heading Procedure"/>
    <w:basedOn w:val="HeadingBase"/>
    <w:next w:val="Normal"/>
    <w:rsid w:val="002D299E"/>
    <w:pPr>
      <w:tabs>
        <w:tab w:val="left" w:pos="0"/>
      </w:tabs>
      <w:spacing w:before="120" w:after="60"/>
    </w:pPr>
    <w:rPr>
      <w:i/>
      <w:color w:val="918585"/>
      <w:sz w:val="22"/>
    </w:rPr>
  </w:style>
  <w:style w:type="paragraph" w:customStyle="1" w:styleId="TableBodyText">
    <w:name w:val="Table Body Text"/>
    <w:basedOn w:val="BodyText"/>
    <w:rsid w:val="002D299E"/>
    <w:pPr>
      <w:spacing w:before="60" w:after="60"/>
    </w:pPr>
  </w:style>
  <w:style w:type="paragraph" w:styleId="ListContinue">
    <w:name w:val="List Continue"/>
    <w:basedOn w:val="List"/>
    <w:rsid w:val="002D299E"/>
    <w:pPr>
      <w:ind w:firstLine="0"/>
    </w:pPr>
  </w:style>
  <w:style w:type="paragraph" w:customStyle="1" w:styleId="ListNote">
    <w:name w:val="List Note"/>
    <w:basedOn w:val="List"/>
    <w:rsid w:val="002D299E"/>
    <w:pPr>
      <w:pBdr>
        <w:top w:val="single" w:sz="6" w:space="2" w:color="918585"/>
        <w:bottom w:val="single" w:sz="6" w:space="2" w:color="918585"/>
      </w:pBdr>
      <w:tabs>
        <w:tab w:val="left" w:pos="1021"/>
      </w:tabs>
      <w:ind w:firstLine="0"/>
    </w:pPr>
  </w:style>
  <w:style w:type="paragraph" w:customStyle="1" w:styleId="Warning">
    <w:name w:val="Warning"/>
    <w:basedOn w:val="BodyText"/>
    <w:rsid w:val="002D299E"/>
    <w:pPr>
      <w:shd w:val="clear" w:color="auto" w:fill="D9D9D9"/>
      <w:tabs>
        <w:tab w:val="left" w:pos="992"/>
      </w:tabs>
      <w:ind w:left="119" w:right="119"/>
    </w:pPr>
    <w:rPr>
      <w:sz w:val="20"/>
    </w:rPr>
  </w:style>
  <w:style w:type="paragraph" w:customStyle="1" w:styleId="MarginIcons">
    <w:name w:val="Margin Icons"/>
    <w:basedOn w:val="BodyText"/>
    <w:rsid w:val="002D2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99E"/>
    <w:rPr>
      <w:rFonts w:ascii="Courier New" w:hAnsi="Courier New"/>
    </w:rPr>
  </w:style>
  <w:style w:type="paragraph" w:customStyle="1" w:styleId="NoteBullet">
    <w:name w:val="Note Bullet"/>
    <w:basedOn w:val="Note"/>
    <w:rsid w:val="002D299E"/>
    <w:pPr>
      <w:tabs>
        <w:tab w:val="clear" w:pos="680"/>
      </w:tabs>
      <w:spacing w:before="60" w:after="60"/>
    </w:pPr>
  </w:style>
  <w:style w:type="paragraph" w:customStyle="1" w:styleId="SubHeading2">
    <w:name w:val="SubHeading2"/>
    <w:basedOn w:val="HeadingBase"/>
    <w:rsid w:val="002D299E"/>
    <w:pPr>
      <w:spacing w:before="240" w:after="60"/>
    </w:pPr>
    <w:rPr>
      <w:sz w:val="20"/>
    </w:rPr>
  </w:style>
  <w:style w:type="paragraph" w:customStyle="1" w:styleId="SubHeading1">
    <w:name w:val="SubHeading1"/>
    <w:basedOn w:val="HeadingBase"/>
    <w:rsid w:val="002D299E"/>
    <w:pPr>
      <w:spacing w:before="240" w:after="60"/>
    </w:pPr>
    <w:rPr>
      <w:color w:val="918585"/>
      <w:sz w:val="22"/>
    </w:rPr>
  </w:style>
  <w:style w:type="paragraph" w:customStyle="1" w:styleId="SideHeading">
    <w:name w:val="Side Heading"/>
    <w:basedOn w:val="HeadingBase"/>
    <w:rsid w:val="002D2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99E"/>
    <w:pPr>
      <w:numPr>
        <w:numId w:val="12"/>
      </w:numPr>
    </w:pPr>
  </w:style>
  <w:style w:type="paragraph" w:styleId="PlainText">
    <w:name w:val="Plain Text"/>
    <w:basedOn w:val="Normal"/>
    <w:link w:val="PlainTextChar"/>
    <w:rsid w:val="002D299E"/>
    <w:rPr>
      <w:sz w:val="20"/>
    </w:rPr>
  </w:style>
  <w:style w:type="character" w:customStyle="1" w:styleId="PlainTextChar">
    <w:name w:val="Plain Text Char"/>
    <w:basedOn w:val="DefaultParagraphFont"/>
    <w:link w:val="PlainText"/>
    <w:rsid w:val="002D299E"/>
    <w:rPr>
      <w:rFonts w:ascii="Courier New" w:eastAsia="Times New Roman" w:hAnsi="Courier New" w:cs="Times New Roman"/>
      <w:sz w:val="20"/>
      <w:szCs w:val="20"/>
      <w:lang w:eastAsia="en-US"/>
    </w:rPr>
  </w:style>
  <w:style w:type="character" w:customStyle="1" w:styleId="MenuOption">
    <w:name w:val="Menu Option"/>
    <w:basedOn w:val="DefaultParagraphFont"/>
    <w:rsid w:val="002D299E"/>
    <w:rPr>
      <w:b/>
      <w:smallCaps/>
    </w:rPr>
  </w:style>
  <w:style w:type="paragraph" w:customStyle="1" w:styleId="TableListNumber">
    <w:name w:val="Table List Number"/>
    <w:basedOn w:val="ListNumber"/>
    <w:rsid w:val="002D299E"/>
    <w:pPr>
      <w:numPr>
        <w:numId w:val="0"/>
      </w:numPr>
    </w:pPr>
  </w:style>
  <w:style w:type="paragraph" w:styleId="TOC4">
    <w:name w:val="toc 4"/>
    <w:basedOn w:val="TOCBase"/>
    <w:next w:val="Normal"/>
    <w:semiHidden/>
    <w:rsid w:val="002D299E"/>
    <w:pPr>
      <w:tabs>
        <w:tab w:val="right" w:leader="dot" w:pos="9071"/>
      </w:tabs>
      <w:ind w:left="1701"/>
    </w:pPr>
  </w:style>
  <w:style w:type="paragraph" w:customStyle="1" w:styleId="ListAlpha">
    <w:name w:val="List Alpha"/>
    <w:basedOn w:val="List"/>
    <w:rsid w:val="002D299E"/>
    <w:pPr>
      <w:numPr>
        <w:numId w:val="9"/>
      </w:numPr>
    </w:pPr>
  </w:style>
  <w:style w:type="paragraph" w:customStyle="1" w:styleId="ListAlpha2">
    <w:name w:val="List Alpha 2"/>
    <w:basedOn w:val="List2"/>
    <w:rsid w:val="002D299E"/>
    <w:pPr>
      <w:numPr>
        <w:numId w:val="8"/>
      </w:numPr>
    </w:pPr>
  </w:style>
  <w:style w:type="paragraph" w:styleId="List2">
    <w:name w:val="List 2"/>
    <w:basedOn w:val="BodyText"/>
    <w:rsid w:val="002D299E"/>
    <w:pPr>
      <w:tabs>
        <w:tab w:val="left" w:pos="680"/>
      </w:tabs>
      <w:spacing w:before="60" w:after="60"/>
      <w:ind w:left="680" w:hanging="340"/>
    </w:pPr>
  </w:style>
  <w:style w:type="paragraph" w:styleId="List3">
    <w:name w:val="List 3"/>
    <w:basedOn w:val="BodyText"/>
    <w:rsid w:val="002D299E"/>
    <w:pPr>
      <w:tabs>
        <w:tab w:val="left" w:pos="1021"/>
      </w:tabs>
      <w:spacing w:before="60" w:after="60"/>
      <w:ind w:left="1020" w:hanging="340"/>
    </w:pPr>
  </w:style>
  <w:style w:type="paragraph" w:styleId="List4">
    <w:name w:val="List 4"/>
    <w:basedOn w:val="BodyText"/>
    <w:rsid w:val="002D299E"/>
    <w:pPr>
      <w:tabs>
        <w:tab w:val="left" w:pos="1361"/>
      </w:tabs>
      <w:spacing w:before="60" w:after="60"/>
      <w:ind w:left="1361" w:hanging="340"/>
    </w:pPr>
  </w:style>
  <w:style w:type="paragraph" w:styleId="List5">
    <w:name w:val="List 5"/>
    <w:basedOn w:val="BodyText"/>
    <w:rsid w:val="002D299E"/>
    <w:pPr>
      <w:tabs>
        <w:tab w:val="left" w:pos="1701"/>
      </w:tabs>
      <w:spacing w:before="60" w:after="60"/>
      <w:ind w:left="1701" w:hanging="340"/>
    </w:pPr>
  </w:style>
  <w:style w:type="paragraph" w:styleId="ListBullet3">
    <w:name w:val="List Bullet 3"/>
    <w:basedOn w:val="List3"/>
    <w:rsid w:val="002D299E"/>
    <w:pPr>
      <w:numPr>
        <w:numId w:val="15"/>
      </w:numPr>
      <w:tabs>
        <w:tab w:val="clear" w:pos="1021"/>
      </w:tabs>
      <w:ind w:left="1037" w:hanging="357"/>
    </w:pPr>
  </w:style>
  <w:style w:type="paragraph" w:styleId="ListBullet4">
    <w:name w:val="List Bullet 4"/>
    <w:basedOn w:val="List4"/>
    <w:rsid w:val="002D299E"/>
    <w:pPr>
      <w:numPr>
        <w:numId w:val="3"/>
      </w:numPr>
      <w:tabs>
        <w:tab w:val="clear" w:pos="1361"/>
      </w:tabs>
    </w:pPr>
  </w:style>
  <w:style w:type="paragraph" w:styleId="ListBullet5">
    <w:name w:val="List Bullet 5"/>
    <w:basedOn w:val="List5"/>
    <w:rsid w:val="002D299E"/>
    <w:pPr>
      <w:numPr>
        <w:numId w:val="4"/>
      </w:numPr>
    </w:pPr>
  </w:style>
  <w:style w:type="paragraph" w:styleId="ListContinue2">
    <w:name w:val="List Continue 2"/>
    <w:basedOn w:val="List2"/>
    <w:rsid w:val="002D299E"/>
    <w:pPr>
      <w:ind w:firstLine="0"/>
    </w:pPr>
  </w:style>
  <w:style w:type="paragraph" w:styleId="ListContinue3">
    <w:name w:val="List Continue 3"/>
    <w:basedOn w:val="List3"/>
    <w:rsid w:val="002D299E"/>
    <w:pPr>
      <w:ind w:left="1021" w:firstLine="0"/>
    </w:pPr>
  </w:style>
  <w:style w:type="paragraph" w:styleId="ListContinue4">
    <w:name w:val="List Continue 4"/>
    <w:basedOn w:val="List4"/>
    <w:rsid w:val="002D299E"/>
    <w:pPr>
      <w:ind w:firstLine="0"/>
    </w:pPr>
  </w:style>
  <w:style w:type="paragraph" w:styleId="ListContinue5">
    <w:name w:val="List Continue 5"/>
    <w:basedOn w:val="List5"/>
    <w:rsid w:val="002D299E"/>
    <w:pPr>
      <w:ind w:firstLine="0"/>
    </w:pPr>
  </w:style>
  <w:style w:type="paragraph" w:styleId="ListNumber3">
    <w:name w:val="List Number 3"/>
    <w:basedOn w:val="List3"/>
    <w:rsid w:val="002D299E"/>
    <w:pPr>
      <w:numPr>
        <w:numId w:val="5"/>
      </w:numPr>
    </w:pPr>
  </w:style>
  <w:style w:type="paragraph" w:styleId="ListNumber4">
    <w:name w:val="List Number 4"/>
    <w:basedOn w:val="List4"/>
    <w:rsid w:val="002D299E"/>
    <w:pPr>
      <w:numPr>
        <w:numId w:val="6"/>
      </w:numPr>
    </w:pPr>
  </w:style>
  <w:style w:type="paragraph" w:styleId="ListNumber5">
    <w:name w:val="List Number 5"/>
    <w:basedOn w:val="List5"/>
    <w:rsid w:val="002D299E"/>
    <w:pPr>
      <w:numPr>
        <w:numId w:val="7"/>
      </w:numPr>
    </w:pPr>
  </w:style>
  <w:style w:type="paragraph" w:styleId="BlockText">
    <w:name w:val="Block Text"/>
    <w:basedOn w:val="Normal"/>
    <w:rsid w:val="002D299E"/>
    <w:pPr>
      <w:spacing w:after="120"/>
      <w:ind w:left="1440" w:right="1440"/>
    </w:pPr>
  </w:style>
  <w:style w:type="character" w:customStyle="1" w:styleId="Subscript">
    <w:name w:val="Subscript"/>
    <w:basedOn w:val="DefaultParagraphFont"/>
    <w:rsid w:val="002D299E"/>
    <w:rPr>
      <w:sz w:val="16"/>
      <w:vertAlign w:val="subscript"/>
    </w:rPr>
  </w:style>
  <w:style w:type="character" w:customStyle="1" w:styleId="Superscript">
    <w:name w:val="Superscript"/>
    <w:basedOn w:val="DefaultParagraphFont"/>
    <w:rsid w:val="002D299E"/>
    <w:rPr>
      <w:sz w:val="16"/>
      <w:vertAlign w:val="superscript"/>
    </w:rPr>
  </w:style>
  <w:style w:type="character" w:customStyle="1" w:styleId="Symbols">
    <w:name w:val="Symbols"/>
    <w:basedOn w:val="DefaultParagraphFont"/>
    <w:rsid w:val="002D299E"/>
    <w:rPr>
      <w:rFonts w:ascii="Symbol" w:hAnsi="Symbol"/>
    </w:rPr>
  </w:style>
  <w:style w:type="character" w:customStyle="1" w:styleId="MenuOptions">
    <w:name w:val="Menu Options"/>
    <w:basedOn w:val="DefaultParagraphFont"/>
    <w:rsid w:val="002D299E"/>
    <w:rPr>
      <w:rFonts w:ascii="Arial Narrow" w:hAnsi="Arial Narrow"/>
      <w:smallCaps/>
    </w:rPr>
  </w:style>
  <w:style w:type="character" w:customStyle="1" w:styleId="Buttons">
    <w:name w:val="Buttons"/>
    <w:basedOn w:val="DefaultParagraphFont"/>
    <w:rsid w:val="002D299E"/>
    <w:rPr>
      <w:b/>
    </w:rPr>
  </w:style>
  <w:style w:type="character" w:customStyle="1" w:styleId="Underlined">
    <w:name w:val="Underlined"/>
    <w:basedOn w:val="DefaultParagraphFont"/>
    <w:rsid w:val="002D299E"/>
    <w:rPr>
      <w:u w:val="single"/>
    </w:rPr>
  </w:style>
  <w:style w:type="paragraph" w:customStyle="1" w:styleId="TableBodyTextRight">
    <w:name w:val="Table Body Text Right"/>
    <w:basedOn w:val="TableBodyText"/>
    <w:rsid w:val="002D299E"/>
    <w:pPr>
      <w:widowControl w:val="0"/>
      <w:autoSpaceDE w:val="0"/>
      <w:autoSpaceDN w:val="0"/>
      <w:adjustRightInd w:val="0"/>
      <w:jc w:val="right"/>
    </w:pPr>
    <w:rPr>
      <w:rFonts w:cs="Arial"/>
      <w:szCs w:val="18"/>
    </w:rPr>
  </w:style>
  <w:style w:type="paragraph" w:customStyle="1" w:styleId="CopyrightText">
    <w:name w:val="Copyright Text"/>
    <w:basedOn w:val="BodyText"/>
    <w:rsid w:val="002D299E"/>
    <w:rPr>
      <w:sz w:val="18"/>
    </w:rPr>
  </w:style>
  <w:style w:type="paragraph" w:customStyle="1" w:styleId="BodySmallRight">
    <w:name w:val="Body Small Right"/>
    <w:basedOn w:val="BodyTextRight"/>
    <w:rsid w:val="002D299E"/>
    <w:rPr>
      <w:sz w:val="18"/>
      <w:szCs w:val="18"/>
    </w:rPr>
  </w:style>
  <w:style w:type="paragraph" w:customStyle="1" w:styleId="MarginEdition">
    <w:name w:val="Margin Edition"/>
    <w:basedOn w:val="MarginNote"/>
    <w:rsid w:val="002D299E"/>
    <w:pPr>
      <w:spacing w:before="0" w:after="0"/>
    </w:pPr>
    <w:rPr>
      <w:rFonts w:ascii="Times New Roman" w:hAnsi="Times New Roman"/>
      <w:color w:val="999999"/>
    </w:rPr>
  </w:style>
  <w:style w:type="paragraph" w:customStyle="1" w:styleId="Spacer">
    <w:name w:val="Spacer"/>
    <w:basedOn w:val="Normal"/>
    <w:rsid w:val="002D299E"/>
    <w:rPr>
      <w:sz w:val="2"/>
      <w:szCs w:val="2"/>
    </w:rPr>
  </w:style>
  <w:style w:type="character" w:customStyle="1" w:styleId="Small">
    <w:name w:val="Small"/>
    <w:basedOn w:val="DefaultParagraphFont"/>
    <w:rsid w:val="002D299E"/>
    <w:rPr>
      <w:sz w:val="16"/>
    </w:rPr>
  </w:style>
  <w:style w:type="paragraph" w:customStyle="1" w:styleId="WideTable">
    <w:name w:val="Wide Table"/>
    <w:basedOn w:val="Normal"/>
    <w:rsid w:val="002D299E"/>
    <w:pPr>
      <w:ind w:left="-1418"/>
    </w:pPr>
    <w:rPr>
      <w:sz w:val="2"/>
      <w:szCs w:val="2"/>
    </w:rPr>
  </w:style>
  <w:style w:type="character" w:styleId="PageNumber">
    <w:name w:val="page number"/>
    <w:basedOn w:val="DefaultParagraphFont"/>
    <w:rsid w:val="002D299E"/>
  </w:style>
  <w:style w:type="paragraph" w:styleId="Quote">
    <w:name w:val="Quote"/>
    <w:basedOn w:val="Heading1"/>
    <w:link w:val="QuoteChar"/>
    <w:qFormat/>
    <w:rsid w:val="002D299E"/>
    <w:rPr>
      <w:b w:val="0"/>
      <w:sz w:val="72"/>
      <w:szCs w:val="72"/>
      <w:lang w:val="en-NZ"/>
    </w:rPr>
  </w:style>
  <w:style w:type="character" w:customStyle="1" w:styleId="QuoteChar">
    <w:name w:val="Quote Char"/>
    <w:basedOn w:val="DefaultParagraphFont"/>
    <w:link w:val="Quote"/>
    <w:rsid w:val="002D2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99E"/>
    <w:pPr>
      <w:pageBreakBefore/>
    </w:pPr>
  </w:style>
  <w:style w:type="paragraph" w:customStyle="1" w:styleId="Border">
    <w:name w:val="Border"/>
    <w:basedOn w:val="Normal"/>
    <w:qFormat/>
    <w:rsid w:val="002D2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99E"/>
    <w:rPr>
      <w:b/>
      <w:bCs/>
      <w:i/>
      <w:iCs/>
      <w:color w:val="auto"/>
    </w:rPr>
  </w:style>
  <w:style w:type="paragraph" w:styleId="IntenseQuote">
    <w:name w:val="Intense Quote"/>
    <w:basedOn w:val="Normal"/>
    <w:next w:val="Normal"/>
    <w:link w:val="IntenseQuoteChar"/>
    <w:uiPriority w:val="30"/>
    <w:qFormat/>
    <w:rsid w:val="002D2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99E"/>
    <w:rPr>
      <w:smallCaps/>
      <w:color w:val="auto"/>
      <w:u w:val="single"/>
    </w:rPr>
  </w:style>
  <w:style w:type="character" w:styleId="IntenseReference">
    <w:name w:val="Intense Reference"/>
    <w:basedOn w:val="DefaultParagraphFont"/>
    <w:uiPriority w:val="32"/>
    <w:qFormat/>
    <w:rsid w:val="002D299E"/>
    <w:rPr>
      <w:b/>
      <w:bCs/>
      <w:smallCaps/>
      <w:color w:val="auto"/>
      <w:spacing w:val="5"/>
      <w:u w:val="single"/>
    </w:rPr>
  </w:style>
  <w:style w:type="paragraph" w:customStyle="1" w:styleId="2ColumnHeading">
    <w:name w:val="2Column Heading"/>
    <w:basedOn w:val="BodyText"/>
    <w:qFormat/>
    <w:rsid w:val="002D299E"/>
    <w:pPr>
      <w:spacing w:after="60"/>
      <w:ind w:left="-2268"/>
    </w:pPr>
    <w:rPr>
      <w:b/>
    </w:rPr>
  </w:style>
  <w:style w:type="paragraph" w:customStyle="1" w:styleId="Heading1TOC">
    <w:name w:val="Heading1 TOC"/>
    <w:basedOn w:val="Normal"/>
    <w:qFormat/>
    <w:rsid w:val="002D299E"/>
    <w:pPr>
      <w:spacing w:before="240" w:after="120"/>
    </w:pPr>
    <w:rPr>
      <w:rFonts w:ascii="Times New Roman" w:hAnsi="Times New Roman"/>
      <w:b/>
      <w:sz w:val="32"/>
    </w:rPr>
  </w:style>
  <w:style w:type="paragraph" w:customStyle="1" w:styleId="Heading2TOC">
    <w:name w:val="Heading2 TOC"/>
    <w:basedOn w:val="Normal"/>
    <w:qFormat/>
    <w:rsid w:val="002D299E"/>
    <w:pPr>
      <w:spacing w:before="240" w:after="60"/>
    </w:pPr>
    <w:rPr>
      <w:rFonts w:ascii="Times New Roman" w:hAnsi="Times New Roman"/>
      <w:b/>
      <w:sz w:val="28"/>
    </w:rPr>
  </w:style>
  <w:style w:type="character" w:customStyle="1" w:styleId="Underline">
    <w:name w:val="Underline"/>
    <w:basedOn w:val="DefaultParagraphFont"/>
    <w:qFormat/>
    <w:rsid w:val="002D299E"/>
    <w:rPr>
      <w:u w:val="single"/>
    </w:rPr>
  </w:style>
  <w:style w:type="character" w:customStyle="1" w:styleId="BoldandItalics">
    <w:name w:val="Bold and Italics"/>
    <w:qFormat/>
    <w:rsid w:val="002D299E"/>
    <w:rPr>
      <w:b/>
      <w:i/>
      <w:u w:val="none"/>
    </w:rPr>
  </w:style>
  <w:style w:type="paragraph" w:styleId="BalloonText">
    <w:name w:val="Balloon Text"/>
    <w:basedOn w:val="Normal"/>
    <w:link w:val="BalloonTextChar"/>
    <w:rsid w:val="002D299E"/>
    <w:rPr>
      <w:rFonts w:ascii="Tahoma" w:hAnsi="Tahoma" w:cs="Tahoma"/>
      <w:sz w:val="16"/>
      <w:szCs w:val="16"/>
    </w:rPr>
  </w:style>
  <w:style w:type="character" w:customStyle="1" w:styleId="BalloonTextChar">
    <w:name w:val="Balloon Text Char"/>
    <w:basedOn w:val="DefaultParagraphFont"/>
    <w:link w:val="BalloonText"/>
    <w:rsid w:val="002D2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9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2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99E"/>
    <w:rPr>
      <w:b/>
      <w:color w:val="660033"/>
      <w:spacing w:val="0"/>
    </w:rPr>
  </w:style>
  <w:style w:type="paragraph" w:customStyle="1" w:styleId="Nameditemlist">
    <w:name w:val="Named item list"/>
    <w:basedOn w:val="BodyText"/>
    <w:qFormat/>
    <w:rsid w:val="002D29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1572</Words>
  <Characters>10178</Characters>
  <Application>Microsoft Office Word</Application>
  <DocSecurity>0</DocSecurity>
  <Lines>336</Lines>
  <Paragraphs>242</Paragraphs>
  <ScaleCrop>false</ScaleCrop>
  <Company>Author-it Software Corporation Ltd.</Company>
  <LinksUpToDate>false</LinksUpToDate>
  <CharactersWithSpaces>11656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FDFWGG3013A Operate spreading and seeding equipment</dc:title>
  <dc:subject>Approved</dc:subject>
  <dc:creator>AgriFood Skills Australia</dc:creator>
  <cp:keywords>Release: 2</cp:keywords>
  <dc:description>Review Date: 12 April 2008</dc:description>
  <cp:lastModifiedBy>HSD_TPCMSd.prod</cp:lastModifiedBy>
  <cp:revision>3</cp:revision>
  <dcterms:created xsi:type="dcterms:W3CDTF">2016-08-21T23:18:00Z</dcterms:created>
  <dcterms:modified xsi:type="dcterms:W3CDTF">2016-08-21T23:18:00Z</dcterms:modified>
</cp:coreProperties>
</file>