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FE429F" w:rsidP="00FE429F">
      <w:pPr>
        <w:pStyle w:val="Title"/>
      </w:pPr>
      <w:r>
        <w:fldChar w:fldCharType="begin"/>
      </w:r>
      <w:r>
        <w:instrText xml:space="preserve"> TITLE   \* MERGEFORMAT </w:instrText>
      </w:r>
      <w:r>
        <w:fldChar w:fldCharType="separate"/>
      </w:r>
      <w:r>
        <w:t>FDFSUG210A Operate a juice clarification process</w:t>
      </w:r>
      <w:r>
        <w:fldChar w:fldCharType="end"/>
      </w:r>
    </w:p>
    <w:p w:rsidR="00FE429F" w:rsidP="00FE429F">
      <w:pPr>
        <w:pStyle w:val="Version"/>
        <w:sectPr w:rsidSect="00936B80">
          <w:headerReference w:type="even" r:id="rId4"/>
          <w:headerReference w:type="default" r:id="rId5"/>
          <w:footerReference w:type="even" r:id="rId6"/>
          <w:footerReference w:type="default" r:id="rId7"/>
          <w:headerReference w:type="first" r:id="rId8"/>
          <w:footerReference w:type="first" r:id="rId9"/>
          <w:pgSz w:w="11908" w:h="16833"/>
          <w:pgMar w:top="1700" w:right="1418" w:bottom="1700"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936B80" w:rsidP="00936B80">
      <w:pPr>
        <w:pStyle w:val="SuperHeading"/>
      </w:pPr>
      <w:r w:rsidRPr="00936B80">
        <w:t>FDFSUG210A Operate a juice clarification process</w:t>
      </w:r>
    </w:p>
    <w:p w:rsidR="00000000" w:rsidRPr="00936B80" w:rsidP="00936B80">
      <w:pPr>
        <w:pStyle w:val="Heading1"/>
      </w:pPr>
      <w:bookmarkStart w:id="1" w:name="O_391255"/>
      <w:bookmarkEnd w:id="1"/>
      <w:r w:rsidRPr="00936B80">
        <w:t>Modification History</w:t>
      </w:r>
    </w:p>
    <w:p w:rsidR="00000000" w:rsidRPr="00936B80" w:rsidP="00936B80">
      <w:pPr>
        <w:pStyle w:val="BodyText"/>
      </w:pPr>
      <w:r w:rsidRPr="00936B80">
        <w:t xml:space="preserve">New Unit based on </w:t>
      </w:r>
      <w:r w:rsidRPr="00936B80">
        <w:rPr>
          <w:rStyle w:val="Emphasis"/>
        </w:rPr>
        <w:t>SUGPJCP2A Operate a juice clarification process</w:t>
      </w:r>
      <w:r w:rsidRPr="00936B80">
        <w:t>.</w:t>
      </w:r>
    </w:p>
    <w:p w:rsidR="00000000" w:rsidRPr="00936B80" w:rsidP="00936B80">
      <w:pPr>
        <w:pStyle w:val="AllowPageBreak"/>
      </w:pPr>
    </w:p>
    <w:p w:rsidR="00000000" w:rsidRPr="00936B80" w:rsidP="00936B80">
      <w:pPr>
        <w:pStyle w:val="Heading1"/>
      </w:pPr>
      <w:bookmarkStart w:id="2" w:name="O_391256"/>
      <w:bookmarkEnd w:id="2"/>
      <w:r w:rsidRPr="00936B80">
        <w:t>Unit Descriptor</w:t>
      </w:r>
    </w:p>
    <w:p w:rsidR="00000000" w:rsidRPr="00936B80" w:rsidP="00936B80">
      <w:pPr>
        <w:pStyle w:val="BodyText"/>
      </w:pPr>
      <w:r w:rsidRPr="00936B80">
        <w:t>This unit describes the outcomes required to operate a juice clari</w:t>
      </w:r>
      <w:r w:rsidRPr="00936B80">
        <w:t>fication process from the juice tanks through to the clarifiers.</w:t>
      </w:r>
    </w:p>
    <w:p w:rsidR="00000000" w:rsidRPr="00936B80" w:rsidP="00936B80">
      <w:pPr>
        <w:pStyle w:val="AllowPageBreak"/>
      </w:pPr>
    </w:p>
    <w:p w:rsidR="00000000" w:rsidRPr="00936B80" w:rsidP="00936B80">
      <w:pPr>
        <w:pStyle w:val="Heading1"/>
      </w:pPr>
      <w:bookmarkStart w:id="3" w:name="O_391257"/>
      <w:bookmarkEnd w:id="3"/>
      <w:r w:rsidRPr="00936B80">
        <w:t>Application of the Unit</w:t>
      </w:r>
    </w:p>
    <w:p w:rsidR="00000000" w:rsidRPr="00936B80" w:rsidP="00936B80">
      <w:pPr>
        <w:pStyle w:val="BodyText"/>
      </w:pPr>
      <w:r w:rsidRPr="00936B80">
        <w:t>This unit has application in the sugar milling industry.</w:t>
      </w:r>
    </w:p>
    <w:p w:rsidR="00000000" w:rsidRPr="00936B80" w:rsidP="00936B80">
      <w:pPr>
        <w:pStyle w:val="AllowPageBreak"/>
      </w:pPr>
    </w:p>
    <w:p w:rsidR="00000000" w:rsidRPr="00936B80" w:rsidP="00936B80">
      <w:pPr>
        <w:pStyle w:val="Heading1"/>
      </w:pPr>
      <w:bookmarkStart w:id="4" w:name="O_391258"/>
      <w:bookmarkEnd w:id="4"/>
      <w:r w:rsidRPr="00936B80">
        <w:t>Licensing/Regulatory Information</w:t>
      </w:r>
    </w:p>
    <w:p w:rsidR="00000000" w:rsidRPr="00936B80" w:rsidP="00936B80">
      <w:pPr>
        <w:pStyle w:val="BodyText"/>
      </w:pPr>
      <w:r w:rsidRPr="00936B80">
        <w:t>Not applicable.</w:t>
      </w:r>
    </w:p>
    <w:p w:rsidR="00000000" w:rsidRPr="00936B80" w:rsidP="00936B80">
      <w:pPr>
        <w:pStyle w:val="AllowPageBreak"/>
      </w:pPr>
    </w:p>
    <w:p w:rsidR="00000000" w:rsidRPr="00936B80" w:rsidP="00936B80">
      <w:pPr>
        <w:pStyle w:val="Heading1"/>
      </w:pPr>
      <w:bookmarkStart w:id="5" w:name="O_391259"/>
      <w:bookmarkEnd w:id="5"/>
      <w:r w:rsidRPr="00936B80">
        <w:t>Pre-Requisites</w:t>
      </w:r>
    </w:p>
    <w:p w:rsidR="00000000" w:rsidRPr="00936B80" w:rsidP="00936B80">
      <w:pPr>
        <w:pStyle w:val="BodyText"/>
      </w:pPr>
      <w:r w:rsidRPr="00936B80">
        <w:t>There are no pre-requisite units for this competency standard.</w:t>
      </w:r>
    </w:p>
    <w:p w:rsidR="00000000" w:rsidRPr="00936B80" w:rsidP="00936B80">
      <w:pPr>
        <w:pStyle w:val="AllowPageBreak"/>
      </w:pPr>
    </w:p>
    <w:p w:rsidR="00000000" w:rsidRPr="00936B80" w:rsidP="00936B80">
      <w:pPr>
        <w:pStyle w:val="Heading1"/>
      </w:pPr>
      <w:bookmarkStart w:id="6" w:name="O_391260"/>
      <w:bookmarkEnd w:id="6"/>
      <w:r w:rsidRPr="00936B80">
        <w:t>Employability Skills Information</w:t>
      </w:r>
    </w:p>
    <w:p w:rsidR="00000000" w:rsidRPr="00936B80" w:rsidP="00936B80">
      <w:pPr>
        <w:pStyle w:val="BodyText"/>
      </w:pPr>
      <w:r w:rsidRPr="00936B80">
        <w:t>This unit contains employability skills.</w:t>
      </w:r>
    </w:p>
    <w:p w:rsidR="00000000" w:rsidRPr="00936B80" w:rsidP="00936B80">
      <w:pPr>
        <w:pStyle w:val="AllowPageBreak"/>
      </w:pPr>
    </w:p>
    <w:p w:rsidR="00000000" w:rsidRPr="00936B80" w:rsidP="00936B80">
      <w:pPr>
        <w:pStyle w:val="Heading1"/>
      </w:pPr>
      <w:bookmarkStart w:id="7" w:name="O_391261"/>
      <w:bookmarkEnd w:id="7"/>
      <w:r w:rsidRPr="00936B80">
        <w:t>Elements and Performance Criteria Pre-Content</w:t>
      </w:r>
    </w:p>
    <w:tbl>
      <w:tblPr>
        <w:tblW w:w="9462" w:type="dxa"/>
        <w:tblLayout w:type="fixed"/>
        <w:tblCellMar>
          <w:left w:w="62" w:type="dxa"/>
          <w:right w:w="62" w:type="dxa"/>
        </w:tblCellMar>
        <w:tblLook w:val="0000"/>
      </w:tblPr>
      <w:tblGrid>
        <w:gridCol w:w="2700"/>
        <w:gridCol w:w="6762"/>
      </w:tblGrid>
      <w:tr w:rsidTr="00936B80">
        <w:tblPrEx>
          <w:tblW w:w="9462" w:type="dxa"/>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tcPr>
          <w:p w:rsidR="00000000" w:rsidP="00936B80">
            <w:pPr>
              <w:pStyle w:val="BodyText"/>
              <w:rPr>
                <w:lang w:val="en-NZ"/>
              </w:rPr>
            </w:pPr>
            <w:r w:rsidRPr="00936B80">
              <w:t>Elements describe the es</w:t>
            </w:r>
            <w:r w:rsidRPr="00936B80">
              <w:t>sential outcomes of a unit of competency.</w:t>
            </w:r>
          </w:p>
        </w:tc>
        <w:tc>
          <w:tcPr>
            <w:tcW w:w="6762" w:type="dxa"/>
            <w:tcBorders>
              <w:top w:val="nil"/>
              <w:left w:val="nil"/>
              <w:bottom w:val="nil"/>
              <w:right w:val="nil"/>
            </w:tcBorders>
            <w:tcMar>
              <w:top w:w="0" w:type="dxa"/>
              <w:left w:w="62" w:type="dxa"/>
              <w:bottom w:w="0" w:type="dxa"/>
              <w:right w:w="62" w:type="dxa"/>
            </w:tcMar>
          </w:tcPr>
          <w:p w:rsidR="00000000" w:rsidRPr="00936B80" w:rsidP="00936B80">
            <w:pPr>
              <w:pStyle w:val="BodyText"/>
            </w:pPr>
            <w:r w:rsidRPr="00936B80">
              <w:t>Performance criteria describe the performance needed to demonstrate achievement of the element. Where bold italicised text is used, further information is detailed in the required skills and knowledge section and t</w:t>
            </w:r>
            <w:r w:rsidRPr="00936B80">
              <w:t>he range statement. Assessment of performance is to be consistent with the evidence guide.</w:t>
            </w:r>
          </w:p>
        </w:tc>
      </w:tr>
    </w:tbl>
    <w:p w:rsidR="00000000" w:rsidRPr="00936B80" w:rsidP="00936B80">
      <w:pPr>
        <w:pStyle w:val="BodyText"/>
      </w:pPr>
    </w:p>
    <w:p w:rsidR="00000000" w:rsidRPr="00936B80" w:rsidP="00936B80">
      <w:pPr>
        <w:pStyle w:val="AllowPageBreak"/>
      </w:pPr>
    </w:p>
    <w:p w:rsidR="00000000" w:rsidRPr="00936B80" w:rsidP="00936B80">
      <w:pPr>
        <w:pStyle w:val="Heading1"/>
      </w:pPr>
      <w:bookmarkStart w:id="8" w:name="O_391262"/>
      <w:bookmarkEnd w:id="8"/>
      <w:r w:rsidRPr="00936B80">
        <w:t>Elements and Performance Criteria</w:t>
      </w:r>
    </w:p>
    <w:tbl>
      <w:tblPr>
        <w:tblW w:w="9462" w:type="dxa"/>
        <w:tblLayout w:type="fixed"/>
        <w:tblCellMar>
          <w:left w:w="62" w:type="dxa"/>
          <w:right w:w="62" w:type="dxa"/>
        </w:tblCellMar>
        <w:tblLook w:val="0000"/>
      </w:tblPr>
      <w:tblGrid>
        <w:gridCol w:w="2700"/>
        <w:gridCol w:w="6762"/>
      </w:tblGrid>
      <w:tr w:rsidTr="00936B80">
        <w:tblPrEx>
          <w:tblW w:w="9462" w:type="dxa"/>
          <w:tblLayout w:type="fixed"/>
          <w:tblCellMar>
            <w:left w:w="62" w:type="dxa"/>
            <w:right w:w="62" w:type="dxa"/>
          </w:tblCellMar>
          <w:tblLook w:val="0000"/>
        </w:tblPrEx>
        <w:trPr>
          <w:tblHeader/>
        </w:trPr>
        <w:tc>
          <w:tcPr>
            <w:tcW w:w="2700" w:type="dxa"/>
            <w:tcBorders>
              <w:top w:val="nil"/>
              <w:left w:val="nil"/>
              <w:bottom w:val="nil"/>
              <w:right w:val="nil"/>
            </w:tcBorders>
            <w:tcMar>
              <w:top w:w="0" w:type="dxa"/>
              <w:left w:w="62" w:type="dxa"/>
              <w:bottom w:w="0" w:type="dxa"/>
              <w:right w:w="62" w:type="dxa"/>
            </w:tcMar>
          </w:tcPr>
          <w:p w:rsidR="00000000" w:rsidP="00936B80">
            <w:pPr>
              <w:pStyle w:val="TableHeading"/>
            </w:pPr>
            <w:r w:rsidRPr="00936B80">
              <w:t>ELEMENT</w:t>
            </w:r>
          </w:p>
        </w:tc>
        <w:tc>
          <w:tcPr>
            <w:tcW w:w="6762" w:type="dxa"/>
            <w:tcBorders>
              <w:top w:val="nil"/>
              <w:left w:val="nil"/>
              <w:bottom w:val="nil"/>
              <w:right w:val="nil"/>
            </w:tcBorders>
            <w:tcMar>
              <w:top w:w="0" w:type="dxa"/>
              <w:left w:w="62" w:type="dxa"/>
              <w:bottom w:w="0" w:type="dxa"/>
              <w:right w:w="62" w:type="dxa"/>
            </w:tcMar>
            <w:vAlign w:val="bottom"/>
          </w:tcPr>
          <w:p w:rsidR="00000000" w:rsidP="00936B80">
            <w:pPr>
              <w:pStyle w:val="TableHeading"/>
            </w:pPr>
            <w:r w:rsidRPr="00936B80">
              <w:t>PERFORMANCE CRITERIA</w:t>
            </w:r>
          </w:p>
        </w:tc>
      </w:tr>
      <w:tr w:rsidTr="00936B80">
        <w:tblPrEx>
          <w:tblW w:w="9462" w:type="dxa"/>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tcPr>
          <w:p w:rsidR="00000000" w:rsidP="00936B80">
            <w:pPr>
              <w:pStyle w:val="List"/>
              <w:rPr>
                <w:lang w:val="en-NZ"/>
              </w:rPr>
            </w:pPr>
            <w:r w:rsidRPr="00936B80">
              <w:t>1  Prepare the clarification process for operation</w:t>
            </w:r>
          </w:p>
        </w:tc>
        <w:tc>
          <w:tcPr>
            <w:tcW w:w="6762" w:type="dxa"/>
            <w:tcBorders>
              <w:top w:val="nil"/>
              <w:left w:val="nil"/>
              <w:bottom w:val="nil"/>
              <w:right w:val="nil"/>
            </w:tcBorders>
            <w:tcMar>
              <w:top w:w="0" w:type="dxa"/>
              <w:left w:w="62" w:type="dxa"/>
              <w:bottom w:w="0" w:type="dxa"/>
              <w:right w:w="62" w:type="dxa"/>
            </w:tcMar>
          </w:tcPr>
          <w:p w:rsidR="00000000" w:rsidRPr="00936B80" w:rsidP="00936B80">
            <w:pPr>
              <w:pStyle w:val="List"/>
            </w:pPr>
            <w:r w:rsidRPr="00936B80">
              <w:t>1.1 Raw juice is and available to meet production requirements</w:t>
            </w:r>
          </w:p>
          <w:p w:rsidR="00000000" w:rsidRPr="00936B80" w:rsidP="00936B80">
            <w:pPr>
              <w:pStyle w:val="List"/>
            </w:pPr>
            <w:r w:rsidRPr="00936B80">
              <w:t>1.2 Services are confirmed as available and ready for operation</w:t>
            </w:r>
          </w:p>
          <w:p w:rsidR="00000000" w:rsidRPr="00936B80" w:rsidP="00936B80">
            <w:pPr>
              <w:pStyle w:val="List"/>
            </w:pPr>
            <w:r w:rsidRPr="00936B80">
              <w:t>1.3 Equipment is checked to confirm readiness for use</w:t>
            </w:r>
          </w:p>
          <w:p w:rsidR="00000000" w:rsidP="00936B80">
            <w:pPr>
              <w:pStyle w:val="List"/>
              <w:rPr>
                <w:lang w:val="en-NZ"/>
              </w:rPr>
            </w:pPr>
            <w:r w:rsidRPr="00936B80">
              <w:t>1.4 The clarification process is set to meet production requirements</w:t>
            </w:r>
          </w:p>
        </w:tc>
      </w:tr>
      <w:tr w:rsidTr="00936B80">
        <w:tblPrEx>
          <w:tblW w:w="9462" w:type="dxa"/>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tcPr>
          <w:p w:rsidR="00000000" w:rsidP="00936B80">
            <w:pPr>
              <w:pStyle w:val="List"/>
              <w:rPr>
                <w:lang w:val="en-NZ"/>
              </w:rPr>
            </w:pPr>
            <w:r w:rsidRPr="00936B80">
              <w:t>2  Op</w:t>
            </w:r>
            <w:r w:rsidRPr="00936B80">
              <w:t>erate and monitor the clarification process</w:t>
            </w:r>
          </w:p>
        </w:tc>
        <w:tc>
          <w:tcPr>
            <w:tcW w:w="6762" w:type="dxa"/>
            <w:tcBorders>
              <w:top w:val="nil"/>
              <w:left w:val="nil"/>
              <w:bottom w:val="nil"/>
              <w:right w:val="nil"/>
            </w:tcBorders>
            <w:tcMar>
              <w:top w:w="0" w:type="dxa"/>
              <w:left w:w="62" w:type="dxa"/>
              <w:bottom w:w="0" w:type="dxa"/>
              <w:right w:w="62" w:type="dxa"/>
            </w:tcMar>
          </w:tcPr>
          <w:p w:rsidR="00000000" w:rsidRPr="00936B80" w:rsidP="00936B80">
            <w:pPr>
              <w:pStyle w:val="List"/>
            </w:pPr>
            <w:r w:rsidRPr="00936B80">
              <w:t>2.1 The clarification process is started up and operated according to company procedures</w:t>
            </w:r>
          </w:p>
          <w:p w:rsidR="00000000" w:rsidRPr="00936B80" w:rsidP="00936B80">
            <w:pPr>
              <w:pStyle w:val="List"/>
            </w:pPr>
            <w:r w:rsidRPr="00936B80">
              <w:t>2.2 Control points are monitored to confirm performance is maintained within specification</w:t>
            </w:r>
          </w:p>
          <w:p w:rsidR="00000000" w:rsidRPr="00936B80" w:rsidP="00936B80">
            <w:pPr>
              <w:pStyle w:val="List"/>
            </w:pPr>
            <w:r w:rsidRPr="00936B80">
              <w:t>2.3 Clarified product meets spec</w:t>
            </w:r>
            <w:r w:rsidRPr="00936B80">
              <w:t>ifications</w:t>
            </w:r>
          </w:p>
          <w:p w:rsidR="00000000" w:rsidRPr="00936B80" w:rsidP="00936B80">
            <w:pPr>
              <w:pStyle w:val="List"/>
            </w:pPr>
            <w:r w:rsidRPr="00936B80">
              <w:t>2.4 Equipment is monitored to confirm operating condition</w:t>
            </w:r>
          </w:p>
          <w:p w:rsidR="00000000" w:rsidRPr="00936B80" w:rsidP="00936B80">
            <w:pPr>
              <w:pStyle w:val="List"/>
            </w:pPr>
            <w:r w:rsidRPr="00936B80">
              <w:t>2.5 Out-of-specification product, process and equipment performance is identified, rectified and/or reported according to workplace reporting procedure</w:t>
            </w:r>
          </w:p>
          <w:p w:rsidR="00000000" w:rsidRPr="00936B80" w:rsidP="00936B80">
            <w:pPr>
              <w:pStyle w:val="List"/>
            </w:pPr>
            <w:r w:rsidRPr="00936B80">
              <w:t>2.6 The workplace meets housekeepin</w:t>
            </w:r>
            <w:r w:rsidRPr="00936B80">
              <w:t>g standards</w:t>
            </w:r>
          </w:p>
          <w:p w:rsidR="00000000" w:rsidP="00936B80">
            <w:pPr>
              <w:pStyle w:val="List"/>
              <w:rPr>
                <w:lang w:val="en-NZ"/>
              </w:rPr>
            </w:pPr>
            <w:r w:rsidRPr="00936B80">
              <w:t>2.7 Workplace information is recorded according to workplace recording requirements</w:t>
            </w:r>
          </w:p>
        </w:tc>
      </w:tr>
      <w:tr w:rsidTr="00936B80">
        <w:tblPrEx>
          <w:tblW w:w="9462" w:type="dxa"/>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tcPr>
          <w:p w:rsidR="00000000" w:rsidP="00936B80">
            <w:pPr>
              <w:pStyle w:val="List"/>
              <w:rPr>
                <w:lang w:val="en-NZ"/>
              </w:rPr>
            </w:pPr>
            <w:r w:rsidRPr="00936B80">
              <w:t>3  Handover the clarification process</w:t>
            </w:r>
          </w:p>
        </w:tc>
        <w:tc>
          <w:tcPr>
            <w:tcW w:w="6762" w:type="dxa"/>
            <w:tcBorders>
              <w:top w:val="nil"/>
              <w:left w:val="nil"/>
              <w:bottom w:val="nil"/>
              <w:right w:val="nil"/>
            </w:tcBorders>
            <w:tcMar>
              <w:top w:w="0" w:type="dxa"/>
              <w:left w:w="62" w:type="dxa"/>
              <w:bottom w:w="0" w:type="dxa"/>
              <w:right w:w="62" w:type="dxa"/>
            </w:tcMar>
          </w:tcPr>
          <w:p w:rsidR="00000000" w:rsidRPr="00936B80" w:rsidP="00936B80">
            <w:pPr>
              <w:pStyle w:val="List"/>
            </w:pPr>
            <w:r w:rsidRPr="00936B80">
              <w:t>3.1 Workplace records are maintained in accordance with workplace procedures</w:t>
            </w:r>
          </w:p>
          <w:p w:rsidR="00000000" w:rsidRPr="00936B80" w:rsidP="00936B80">
            <w:pPr>
              <w:pStyle w:val="List"/>
            </w:pPr>
            <w:r w:rsidRPr="00936B80">
              <w:t>3.2 Handover is carried out according to workplace procedure</w:t>
            </w:r>
          </w:p>
          <w:p w:rsidR="00000000" w:rsidP="00936B80">
            <w:pPr>
              <w:pStyle w:val="List"/>
              <w:rPr>
                <w:lang w:val="en-NZ"/>
              </w:rPr>
            </w:pPr>
            <w:r w:rsidRPr="00936B80">
              <w:t>3.3 Clarification operators are aware of system and related equipment status at completion of handover</w:t>
            </w:r>
          </w:p>
        </w:tc>
      </w:tr>
      <w:tr w:rsidTr="00936B80">
        <w:tblPrEx>
          <w:tblW w:w="9462" w:type="dxa"/>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tcPr>
          <w:p w:rsidR="00000000" w:rsidP="00936B80">
            <w:pPr>
              <w:pStyle w:val="List"/>
              <w:rPr>
                <w:lang w:val="en-NZ"/>
              </w:rPr>
            </w:pPr>
            <w:r w:rsidRPr="00936B80">
              <w:t>4  Shut down the clarification process</w:t>
            </w:r>
          </w:p>
        </w:tc>
        <w:tc>
          <w:tcPr>
            <w:tcW w:w="6762" w:type="dxa"/>
            <w:tcBorders>
              <w:top w:val="nil"/>
              <w:left w:val="nil"/>
              <w:bottom w:val="nil"/>
              <w:right w:val="nil"/>
            </w:tcBorders>
            <w:tcMar>
              <w:top w:w="0" w:type="dxa"/>
              <w:left w:w="62" w:type="dxa"/>
              <w:bottom w:w="0" w:type="dxa"/>
              <w:right w:w="62" w:type="dxa"/>
            </w:tcMar>
          </w:tcPr>
          <w:p w:rsidR="00000000" w:rsidRPr="00936B80" w:rsidP="00936B80">
            <w:pPr>
              <w:pStyle w:val="List"/>
            </w:pPr>
            <w:r w:rsidRPr="00936B80">
              <w:t>4.1 The appropriate shut down procedure is identifie</w:t>
            </w:r>
            <w:r w:rsidRPr="00936B80">
              <w:t>d</w:t>
            </w:r>
          </w:p>
          <w:p w:rsidR="00000000" w:rsidRPr="00936B80" w:rsidP="00936B80">
            <w:pPr>
              <w:pStyle w:val="List"/>
            </w:pPr>
            <w:r w:rsidRPr="00936B80">
              <w:t>4.2 The clarification system is shut down according to workplace procedures</w:t>
            </w:r>
          </w:p>
          <w:p w:rsidR="00000000" w:rsidRPr="00936B80" w:rsidP="00936B80">
            <w:pPr>
              <w:pStyle w:val="List"/>
            </w:pPr>
            <w:r w:rsidRPr="00936B80">
              <w:t>4.3 The clarification system is prepared for storage in shut down mode</w:t>
            </w:r>
          </w:p>
          <w:p w:rsidR="00000000" w:rsidRPr="00936B80" w:rsidP="00936B80">
            <w:pPr>
              <w:pStyle w:val="List"/>
            </w:pPr>
            <w:r w:rsidRPr="00936B80">
              <w:t>4.4 Maintenance requirements are identified and reported according to workplace reporting procedure</w:t>
            </w:r>
          </w:p>
        </w:tc>
      </w:tr>
    </w:tbl>
    <w:p w:rsidR="00000000" w:rsidRPr="00936B80" w:rsidP="00936B80">
      <w:pPr>
        <w:pStyle w:val="BodyText"/>
      </w:pPr>
    </w:p>
    <w:p w:rsidR="00000000" w:rsidRPr="00936B80" w:rsidP="00936B80">
      <w:pPr>
        <w:pStyle w:val="AllowPageBreak"/>
      </w:pPr>
    </w:p>
    <w:p w:rsidR="00000000" w:rsidRPr="00936B80" w:rsidP="00936B80">
      <w:pPr>
        <w:pStyle w:val="Heading1"/>
      </w:pPr>
      <w:bookmarkStart w:id="9" w:name="O_391263"/>
      <w:bookmarkEnd w:id="9"/>
      <w:r w:rsidRPr="00936B80">
        <w:t>Required Skills and Knowledge</w:t>
      </w:r>
    </w:p>
    <w:p w:rsidR="00000000" w:rsidRPr="00936B80" w:rsidP="00936B80">
      <w:pPr>
        <w:pStyle w:val="BodyText"/>
      </w:pPr>
      <w:r w:rsidRPr="00936B80">
        <w:t>This section describes the skills and knowledge required for this unit.</w:t>
      </w:r>
    </w:p>
    <w:tbl>
      <w:tblPr>
        <w:tblW w:w="9462" w:type="dxa"/>
        <w:tblLayout w:type="fixed"/>
        <w:tblCellMar>
          <w:left w:w="62" w:type="dxa"/>
          <w:right w:w="62" w:type="dxa"/>
        </w:tblCellMar>
        <w:tblLook w:val="0000"/>
      </w:tblPr>
      <w:tblGrid>
        <w:gridCol w:w="9462"/>
      </w:tblGrid>
      <w:tr w:rsidTr="00936B80">
        <w:tblPrEx>
          <w:tblW w:w="9462" w:type="dxa"/>
          <w:tblLayout w:type="fixed"/>
          <w:tblCellMar>
            <w:left w:w="62" w:type="dxa"/>
            <w:right w:w="62" w:type="dxa"/>
          </w:tblCellMar>
          <w:tblLook w:val="0000"/>
        </w:tblPrEx>
        <w:tc>
          <w:tcPr>
            <w:tcW w:w="9462" w:type="dxa"/>
            <w:tcBorders>
              <w:top w:val="nil"/>
              <w:left w:val="nil"/>
              <w:bottom w:val="nil"/>
              <w:right w:val="nil"/>
            </w:tcBorders>
            <w:tcMar>
              <w:top w:w="0" w:type="dxa"/>
              <w:left w:w="62" w:type="dxa"/>
              <w:bottom w:w="0" w:type="dxa"/>
              <w:right w:w="62" w:type="dxa"/>
            </w:tcMar>
          </w:tcPr>
          <w:p w:rsidR="00000000" w:rsidP="00936B80">
            <w:pPr>
              <w:pStyle w:val="TableHeading"/>
            </w:pPr>
            <w:r w:rsidRPr="00936B80">
              <w:t>Required skills include:</w:t>
            </w:r>
          </w:p>
        </w:tc>
      </w:tr>
      <w:tr w:rsidTr="00936B80">
        <w:tblPrEx>
          <w:tblW w:w="9462" w:type="dxa"/>
          <w:tblLayout w:type="fixed"/>
          <w:tblCellMar>
            <w:left w:w="62" w:type="dxa"/>
            <w:right w:w="62" w:type="dxa"/>
          </w:tblCellMar>
          <w:tblLook w:val="0000"/>
        </w:tblPrEx>
        <w:tc>
          <w:tcPr>
            <w:tcW w:w="9462" w:type="dxa"/>
            <w:tcBorders>
              <w:top w:val="nil"/>
              <w:left w:val="nil"/>
              <w:bottom w:val="nil"/>
              <w:right w:val="nil"/>
            </w:tcBorders>
            <w:tcMar>
              <w:top w:w="0" w:type="dxa"/>
              <w:left w:w="62" w:type="dxa"/>
              <w:bottom w:w="0" w:type="dxa"/>
              <w:right w:w="62" w:type="dxa"/>
            </w:tcMar>
          </w:tcPr>
          <w:p w:rsidR="00000000" w:rsidRPr="00936B80" w:rsidP="00936B80">
            <w:pPr>
              <w:pStyle w:val="BodyText"/>
            </w:pPr>
            <w:r w:rsidRPr="00936B80">
              <w:rPr>
                <w:rStyle w:val="SpecialBold"/>
              </w:rPr>
              <w:t>Ability to:</w:t>
            </w:r>
          </w:p>
          <w:p w:rsidR="00000000" w:rsidRPr="00936B80" w:rsidP="00936B80">
            <w:pPr>
              <w:pStyle w:val="ListBullet"/>
            </w:pPr>
            <w:r w:rsidRPr="00936B80">
              <w:t>access workplace information to identify production requirements</w:t>
            </w:r>
          </w:p>
          <w:p w:rsidR="00000000" w:rsidRPr="00936B80" w:rsidP="00936B80">
            <w:pPr>
              <w:pStyle w:val="ListBullet"/>
            </w:pPr>
            <w:r w:rsidRPr="00936B80">
              <w:t>select, fit and use personal protective clothing and/or equipment</w:t>
            </w:r>
          </w:p>
          <w:p w:rsidR="00000000" w:rsidRPr="00936B80" w:rsidP="00936B80">
            <w:pPr>
              <w:pStyle w:val="ListBullet"/>
            </w:pPr>
            <w:r w:rsidRPr="00936B80">
              <w:t>confirm supply of necessary materials and services</w:t>
            </w:r>
          </w:p>
          <w:p w:rsidR="00000000" w:rsidRPr="00936B80" w:rsidP="00936B80">
            <w:pPr>
              <w:pStyle w:val="ListBullet"/>
            </w:pPr>
            <w:r w:rsidRPr="00936B80">
              <w:t>prepare lime, flocculant and saccharate for addition</w:t>
            </w:r>
          </w:p>
          <w:p w:rsidR="00000000" w:rsidRPr="00936B80" w:rsidP="00936B80">
            <w:pPr>
              <w:pStyle w:val="ListBullet"/>
            </w:pPr>
            <w:r w:rsidRPr="00936B80">
              <w:t>liaise with other work areas</w:t>
            </w:r>
          </w:p>
          <w:p w:rsidR="00000000" w:rsidRPr="00936B80" w:rsidP="00936B80">
            <w:pPr>
              <w:pStyle w:val="ListBullet"/>
            </w:pPr>
            <w:r w:rsidRPr="00936B80">
              <w:t>confirm equipment status and condition</w:t>
            </w:r>
          </w:p>
          <w:p w:rsidR="00000000" w:rsidRPr="00936B80" w:rsidP="00936B80">
            <w:pPr>
              <w:pStyle w:val="ListBullet"/>
            </w:pPr>
            <w:r w:rsidRPr="00936B80">
              <w:t>set up and start u</w:t>
            </w:r>
            <w:r w:rsidRPr="00936B80">
              <w:t>p the process in both automatic and manual modes</w:t>
            </w:r>
          </w:p>
          <w:p w:rsidR="00000000" w:rsidRPr="00936B80" w:rsidP="00936B80">
            <w:pPr>
              <w:pStyle w:val="ListBullet"/>
            </w:pPr>
            <w:r w:rsidRPr="00936B80">
              <w:t>undertake visual inspections and conducting tests to monitor characteristics such as:</w:t>
            </w:r>
          </w:p>
          <w:p w:rsidR="00000000" w:rsidRPr="00936B80" w:rsidP="00936B80">
            <w:pPr>
              <w:pStyle w:val="ListBullet2"/>
            </w:pPr>
            <w:r w:rsidRPr="00936B80">
              <w:t>juice temperatures</w:t>
            </w:r>
          </w:p>
          <w:p w:rsidR="00000000" w:rsidRPr="00936B80" w:rsidP="00936B80">
            <w:pPr>
              <w:pStyle w:val="ListBullet2"/>
            </w:pPr>
            <w:r w:rsidRPr="00936B80">
              <w:t>steam pressure</w:t>
            </w:r>
          </w:p>
          <w:p w:rsidR="00000000" w:rsidRPr="00936B80" w:rsidP="00936B80">
            <w:pPr>
              <w:pStyle w:val="ListBullet2"/>
            </w:pPr>
            <w:r w:rsidRPr="00936B80">
              <w:t>condensate flow and quality</w:t>
            </w:r>
          </w:p>
          <w:p w:rsidR="00000000" w:rsidRPr="00936B80" w:rsidP="00936B80">
            <w:pPr>
              <w:pStyle w:val="ListBullet2"/>
            </w:pPr>
            <w:r w:rsidRPr="00936B80">
              <w:t>throughput</w:t>
            </w:r>
          </w:p>
          <w:p w:rsidR="00000000" w:rsidRPr="00936B80" w:rsidP="00936B80">
            <w:pPr>
              <w:pStyle w:val="ListBullet2"/>
            </w:pPr>
            <w:r w:rsidRPr="00936B80">
              <w:t>juice pH</w:t>
            </w:r>
          </w:p>
          <w:p w:rsidR="00000000" w:rsidRPr="00936B80" w:rsidP="00936B80">
            <w:pPr>
              <w:pStyle w:val="ListBullet2"/>
            </w:pPr>
            <w:r w:rsidRPr="00936B80">
              <w:t>ESJ turbidity</w:t>
            </w:r>
          </w:p>
          <w:p w:rsidR="00000000" w:rsidRPr="00936B80" w:rsidP="00936B80">
            <w:pPr>
              <w:pStyle w:val="ListBullet2"/>
            </w:pPr>
            <w:r w:rsidRPr="00936B80">
              <w:t>addition rates</w:t>
            </w:r>
          </w:p>
          <w:p w:rsidR="00000000" w:rsidRPr="00936B80" w:rsidP="00936B80">
            <w:pPr>
              <w:pStyle w:val="ListBullet2"/>
            </w:pPr>
            <w:r w:rsidRPr="00936B80">
              <w:t>raw juice quality</w:t>
            </w:r>
          </w:p>
          <w:p w:rsidR="00000000" w:rsidRPr="00936B80" w:rsidP="00936B80">
            <w:pPr>
              <w:pStyle w:val="ListBullet2"/>
            </w:pPr>
            <w:r w:rsidRPr="00936B80">
              <w:t>clarifier mud levels and quality</w:t>
            </w:r>
          </w:p>
          <w:p w:rsidR="00000000" w:rsidRPr="00936B80" w:rsidP="00936B80">
            <w:pPr>
              <w:pStyle w:val="ListBullet2"/>
            </w:pPr>
            <w:r w:rsidRPr="00936B80">
              <w:t>equipment condition</w:t>
            </w:r>
          </w:p>
          <w:p w:rsidR="00000000" w:rsidRPr="00936B80" w:rsidP="00936B80">
            <w:pPr>
              <w:pStyle w:val="ListBullet"/>
            </w:pPr>
            <w:r w:rsidRPr="00936B80">
              <w:t>monitor supply and flow of materials to and from the process</w:t>
            </w:r>
          </w:p>
          <w:p w:rsidR="00000000" w:rsidRPr="00936B80" w:rsidP="00936B80">
            <w:pPr>
              <w:pStyle w:val="ListBullet"/>
            </w:pPr>
            <w:r w:rsidRPr="00936B80">
              <w:t>take corrective action in response to out-of-specification results</w:t>
            </w:r>
          </w:p>
          <w:p w:rsidR="00000000" w:rsidRPr="00936B80" w:rsidP="00936B80">
            <w:pPr>
              <w:pStyle w:val="ListBullet"/>
            </w:pPr>
            <w:r w:rsidRPr="00936B80">
              <w:t>record workplace information</w:t>
            </w:r>
          </w:p>
          <w:p w:rsidR="00000000" w:rsidRPr="00936B80" w:rsidP="00936B80">
            <w:pPr>
              <w:pStyle w:val="ListBullet"/>
            </w:pPr>
            <w:r w:rsidRPr="00936B80">
              <w:t xml:space="preserve">demonstrate shift handover </w:t>
            </w:r>
            <w:r w:rsidRPr="00936B80">
              <w:t>procedure</w:t>
            </w:r>
          </w:p>
          <w:p w:rsidR="00000000" w:rsidRPr="00936B80" w:rsidP="00936B80">
            <w:pPr>
              <w:pStyle w:val="ListBullet"/>
            </w:pPr>
            <w:r w:rsidRPr="00936B80">
              <w:t>shut down equipment in response to an emergency situation</w:t>
            </w:r>
          </w:p>
          <w:p w:rsidR="00000000" w:rsidRPr="00936B80" w:rsidP="00936B80">
            <w:pPr>
              <w:pStyle w:val="ListBullet"/>
            </w:pPr>
            <w:r w:rsidRPr="00936B80">
              <w:t>demonstrate an operational shut down procedure</w:t>
            </w:r>
          </w:p>
          <w:p w:rsidR="00000000" w:rsidRPr="00936B80" w:rsidP="00936B80">
            <w:pPr>
              <w:pStyle w:val="ListBullet"/>
            </w:pPr>
            <w:r w:rsidRPr="00936B80">
              <w:t>prepare equipment for cleaning/maintenance</w:t>
            </w:r>
          </w:p>
          <w:p w:rsidR="00000000" w:rsidP="00936B80">
            <w:pPr>
              <w:pStyle w:val="ListBullet"/>
              <w:rPr>
                <w:lang w:val="en-NZ"/>
              </w:rPr>
            </w:pPr>
            <w:r w:rsidRPr="00936B80">
              <w:t>maintain work area to meet housekeeping standards</w:t>
            </w:r>
          </w:p>
        </w:tc>
      </w:tr>
      <w:tr w:rsidTr="00936B80">
        <w:tblPrEx>
          <w:tblW w:w="9462" w:type="dxa"/>
          <w:tblLayout w:type="fixed"/>
          <w:tblCellMar>
            <w:left w:w="62" w:type="dxa"/>
            <w:right w:w="62" w:type="dxa"/>
          </w:tblCellMar>
          <w:tblLook w:val="0000"/>
        </w:tblPrEx>
        <w:tc>
          <w:tcPr>
            <w:tcW w:w="9462" w:type="dxa"/>
            <w:tcBorders>
              <w:top w:val="nil"/>
              <w:left w:val="nil"/>
              <w:bottom w:val="nil"/>
              <w:right w:val="nil"/>
            </w:tcBorders>
            <w:tcMar>
              <w:top w:w="0" w:type="dxa"/>
              <w:left w:w="62" w:type="dxa"/>
              <w:bottom w:w="0" w:type="dxa"/>
              <w:right w:w="62" w:type="dxa"/>
            </w:tcMar>
          </w:tcPr>
          <w:p w:rsidR="00000000" w:rsidP="00936B80">
            <w:pPr>
              <w:pStyle w:val="TableHeading"/>
            </w:pPr>
            <w:r w:rsidRPr="00936B80">
              <w:t>Required knowledge includes:</w:t>
            </w:r>
          </w:p>
        </w:tc>
      </w:tr>
      <w:tr w:rsidTr="00936B80">
        <w:tblPrEx>
          <w:tblW w:w="9462" w:type="dxa"/>
          <w:tblLayout w:type="fixed"/>
          <w:tblCellMar>
            <w:left w:w="62" w:type="dxa"/>
            <w:right w:w="62" w:type="dxa"/>
          </w:tblCellMar>
          <w:tblLook w:val="0000"/>
        </w:tblPrEx>
        <w:tc>
          <w:tcPr>
            <w:tcW w:w="9462" w:type="dxa"/>
            <w:tcBorders>
              <w:top w:val="nil"/>
              <w:left w:val="nil"/>
              <w:bottom w:val="nil"/>
              <w:right w:val="nil"/>
            </w:tcBorders>
            <w:tcMar>
              <w:top w:w="0" w:type="dxa"/>
              <w:left w:w="62" w:type="dxa"/>
              <w:bottom w:w="0" w:type="dxa"/>
              <w:right w:w="62" w:type="dxa"/>
            </w:tcMar>
          </w:tcPr>
          <w:p w:rsidR="00000000" w:rsidRPr="00936B80" w:rsidP="00936B80">
            <w:pPr>
              <w:pStyle w:val="BodyText"/>
            </w:pPr>
            <w:r w:rsidRPr="00936B80">
              <w:rPr>
                <w:rStyle w:val="SpecialBold"/>
              </w:rPr>
              <w:t>Knowledge of:</w:t>
            </w:r>
          </w:p>
          <w:p w:rsidR="00000000" w:rsidRPr="00936B80" w:rsidP="00936B80">
            <w:pPr>
              <w:pStyle w:val="ListBullet"/>
            </w:pPr>
            <w:r w:rsidRPr="00936B80">
              <w:t>purpose and basic principles of clarification including heating, liming, juice degasification and flocculant addition</w:t>
            </w:r>
          </w:p>
          <w:p w:rsidR="00000000" w:rsidRPr="00936B80" w:rsidP="00936B80">
            <w:pPr>
              <w:pStyle w:val="ListBullet"/>
            </w:pPr>
            <w:r w:rsidRPr="00936B80">
              <w:t>the circuit flow of this process and relationship to related processes including the consequences of poor clarification on downstream proc</w:t>
            </w:r>
            <w:r w:rsidRPr="00936B80">
              <w:t>esses</w:t>
            </w:r>
          </w:p>
          <w:p w:rsidR="00000000" w:rsidRPr="00936B80" w:rsidP="00936B80">
            <w:pPr>
              <w:pStyle w:val="ListBullet"/>
            </w:pPr>
            <w:r w:rsidRPr="00936B80">
              <w:t>the effect of recycle streams on the clarification process</w:t>
            </w:r>
          </w:p>
          <w:p w:rsidR="00000000" w:rsidRPr="00936B80" w:rsidP="00936B80">
            <w:pPr>
              <w:pStyle w:val="ListBullet"/>
            </w:pPr>
            <w:r w:rsidRPr="00936B80">
              <w:t>the purpose and role of materials added</w:t>
            </w:r>
          </w:p>
          <w:p w:rsidR="00000000" w:rsidRPr="00936B80" w:rsidP="00936B80">
            <w:pPr>
              <w:pStyle w:val="ListBullet"/>
            </w:pPr>
            <w:r w:rsidRPr="00936B80">
              <w:t>effect of faulty preparation of materials</w:t>
            </w:r>
          </w:p>
          <w:p w:rsidR="00000000" w:rsidRPr="00936B80" w:rsidP="00936B80">
            <w:pPr>
              <w:pStyle w:val="ListBullet"/>
            </w:pPr>
            <w:r w:rsidRPr="00936B80">
              <w:t>quality characteristics of raw juice and of clarified product</w:t>
            </w:r>
          </w:p>
          <w:p w:rsidR="00000000" w:rsidRPr="00936B80" w:rsidP="00936B80">
            <w:pPr>
              <w:pStyle w:val="ListBullet"/>
            </w:pPr>
            <w:r w:rsidRPr="00936B80">
              <w:t>the impact of dextran on sugar quality</w:t>
            </w:r>
          </w:p>
          <w:p w:rsidR="00000000" w:rsidRPr="00936B80" w:rsidP="00936B80">
            <w:pPr>
              <w:pStyle w:val="ListBullet"/>
            </w:pPr>
            <w:r w:rsidRPr="00936B80">
              <w:t>the function of the incubation tank and starch removal</w:t>
            </w:r>
          </w:p>
          <w:p w:rsidR="00000000" w:rsidRPr="00936B80" w:rsidP="00936B80">
            <w:pPr>
              <w:pStyle w:val="ListBullet"/>
            </w:pPr>
            <w:r w:rsidRPr="00936B80">
              <w:t>the effect of addition rates on the process</w:t>
            </w:r>
          </w:p>
          <w:p w:rsidR="00000000" w:rsidRPr="00936B80" w:rsidP="00936B80">
            <w:pPr>
              <w:pStyle w:val="ListBullet"/>
            </w:pPr>
            <w:r w:rsidRPr="00936B80">
              <w:t>the effect of variation in process parameters</w:t>
            </w:r>
          </w:p>
          <w:p w:rsidR="00000000" w:rsidRPr="00936B80" w:rsidP="00936B80">
            <w:pPr>
              <w:pStyle w:val="ListBullet"/>
            </w:pPr>
            <w:r w:rsidRPr="00936B80">
              <w:t>conditions that can cause deterioration in juice</w:t>
            </w:r>
          </w:p>
          <w:p w:rsidR="00000000" w:rsidRPr="00936B80" w:rsidP="00936B80">
            <w:pPr>
              <w:pStyle w:val="ListBullet"/>
            </w:pPr>
            <w:r w:rsidRPr="00936B80">
              <w:t>significance and method of monitoring control points within th</w:t>
            </w:r>
            <w:r w:rsidRPr="00936B80">
              <w:t>e process</w:t>
            </w:r>
          </w:p>
          <w:p w:rsidR="00000000" w:rsidRPr="00936B80" w:rsidP="00936B80">
            <w:pPr>
              <w:pStyle w:val="ListBullet"/>
            </w:pPr>
            <w:r w:rsidRPr="00936B80">
              <w:t>equipment purpose and basic operating principles of juice clarification equipment</w:t>
            </w:r>
          </w:p>
          <w:p w:rsidR="00000000" w:rsidRPr="00936B80" w:rsidP="00936B80">
            <w:pPr>
              <w:pStyle w:val="ListBullet"/>
            </w:pPr>
            <w:r w:rsidRPr="00936B80">
              <w:t>operating requirements and parameters</w:t>
            </w:r>
          </w:p>
          <w:p w:rsidR="00000000" w:rsidRPr="00936B80" w:rsidP="00936B80">
            <w:pPr>
              <w:pStyle w:val="ListBullet"/>
            </w:pPr>
            <w:r w:rsidRPr="00936B80">
              <w:t>services used</w:t>
            </w:r>
          </w:p>
          <w:p w:rsidR="00000000" w:rsidRPr="00936B80" w:rsidP="00936B80">
            <w:pPr>
              <w:pStyle w:val="ListBullet"/>
            </w:pPr>
            <w:r w:rsidRPr="00936B80">
              <w:t>common causes of variation and corrective action required</w:t>
            </w:r>
          </w:p>
          <w:p w:rsidR="00000000" w:rsidRPr="00936B80" w:rsidP="00936B80">
            <w:pPr>
              <w:pStyle w:val="ListBullet"/>
            </w:pPr>
            <w:r w:rsidRPr="00936B80">
              <w:t>hazards and controls</w:t>
            </w:r>
          </w:p>
          <w:p w:rsidR="00000000" w:rsidRPr="00936B80" w:rsidP="00936B80">
            <w:pPr>
              <w:pStyle w:val="ListBullet"/>
            </w:pPr>
            <w:r w:rsidRPr="00936B80">
              <w:t>purpose and limitations of protec</w:t>
            </w:r>
            <w:r w:rsidRPr="00936B80">
              <w:t>tive clothing and equipment</w:t>
            </w:r>
          </w:p>
          <w:p w:rsidR="00000000" w:rsidRPr="00936B80" w:rsidP="00936B80">
            <w:pPr>
              <w:pStyle w:val="ListBullet"/>
            </w:pPr>
            <w:r w:rsidRPr="00936B80">
              <w:t>lock out and tag out procedures</w:t>
            </w:r>
          </w:p>
          <w:p w:rsidR="00000000" w:rsidRPr="00936B80" w:rsidP="00936B80">
            <w:pPr>
              <w:pStyle w:val="ListBullet"/>
            </w:pPr>
            <w:r w:rsidRPr="00936B80">
              <w:t>procedures and responsibility for reporting problems</w:t>
            </w:r>
          </w:p>
          <w:p w:rsidR="00000000" w:rsidRPr="00936B80" w:rsidP="00936B80">
            <w:pPr>
              <w:pStyle w:val="ListBullet"/>
            </w:pPr>
            <w:r w:rsidRPr="00936B80">
              <w:t>environmental issues and controls</w:t>
            </w:r>
          </w:p>
          <w:p w:rsidR="00000000" w:rsidRPr="00936B80" w:rsidP="00936B80">
            <w:pPr>
              <w:pStyle w:val="ListBullet"/>
            </w:pPr>
            <w:r w:rsidRPr="00936B80">
              <w:t>waste handling requirements and procedures</w:t>
            </w:r>
          </w:p>
          <w:p w:rsidR="00000000" w:rsidRPr="00936B80" w:rsidP="00936B80">
            <w:pPr>
              <w:pStyle w:val="ListBullet"/>
            </w:pPr>
            <w:r w:rsidRPr="00936B80">
              <w:t>recording requirements and procedures</w:t>
            </w:r>
          </w:p>
        </w:tc>
      </w:tr>
    </w:tbl>
    <w:p w:rsidR="00000000" w:rsidRPr="00936B80" w:rsidP="00936B80">
      <w:pPr>
        <w:pStyle w:val="BodyText"/>
      </w:pPr>
    </w:p>
    <w:p w:rsidR="00000000" w:rsidRPr="00936B80" w:rsidP="00936B80">
      <w:pPr>
        <w:pStyle w:val="AllowPageBreak"/>
      </w:pPr>
    </w:p>
    <w:p w:rsidR="00000000" w:rsidRPr="00936B80" w:rsidP="00936B80">
      <w:pPr>
        <w:pStyle w:val="Heading1"/>
      </w:pPr>
      <w:bookmarkStart w:id="10" w:name="O_391264"/>
      <w:bookmarkEnd w:id="10"/>
      <w:r w:rsidRPr="00936B80">
        <w:t>Evidence Guide</w:t>
      </w:r>
    </w:p>
    <w:tbl>
      <w:tblPr>
        <w:tblW w:w="9462" w:type="dxa"/>
        <w:tblLayout w:type="fixed"/>
        <w:tblCellMar>
          <w:left w:w="62" w:type="dxa"/>
          <w:right w:w="62" w:type="dxa"/>
        </w:tblCellMar>
        <w:tblLook w:val="0000"/>
      </w:tblPr>
      <w:tblGrid>
        <w:gridCol w:w="3800"/>
        <w:gridCol w:w="5662"/>
      </w:tblGrid>
      <w:tr w:rsidTr="00936B80">
        <w:tblPrEx>
          <w:tblW w:w="9462" w:type="dxa"/>
          <w:tblLayout w:type="fixed"/>
          <w:tblCellMar>
            <w:left w:w="62" w:type="dxa"/>
            <w:right w:w="62" w:type="dxa"/>
          </w:tblCellMar>
          <w:tblLook w:val="0000"/>
        </w:tblPrEx>
        <w:tc>
          <w:tcPr>
            <w:tcW w:w="9462" w:type="dxa"/>
            <w:gridSpan w:val="2"/>
            <w:tcBorders>
              <w:top w:val="single" w:sz="4" w:space="0" w:color="C0C0C0"/>
              <w:left w:val="single" w:sz="4" w:space="0" w:color="auto"/>
              <w:bottom w:val="single" w:sz="4" w:space="0" w:color="auto"/>
              <w:right w:val="single" w:sz="4" w:space="0" w:color="auto"/>
            </w:tcBorders>
            <w:tcMar>
              <w:top w:w="0" w:type="dxa"/>
              <w:left w:w="62" w:type="dxa"/>
              <w:bottom w:w="0" w:type="dxa"/>
              <w:right w:w="62" w:type="dxa"/>
            </w:tcMar>
          </w:tcPr>
          <w:p w:rsidR="00000000" w:rsidP="00936B80">
            <w:pPr>
              <w:pStyle w:val="BodyText"/>
              <w:rPr>
                <w:lang w:val="en-NZ"/>
              </w:rPr>
            </w:pPr>
            <w:r w:rsidRPr="00936B80">
              <w:t>The evidence guide provides advice on assessment and must be read in conjunction with the performance criteria, required skills and knowledge, range statement and the Assessment Guidelines for the Training Package.</w:t>
            </w:r>
          </w:p>
        </w:tc>
      </w:tr>
      <w:tr w:rsidTr="00936B80">
        <w:tblPrEx>
          <w:tblW w:w="9462" w:type="dxa"/>
          <w:tblLayout w:type="fixed"/>
          <w:tblCellMar>
            <w:left w:w="62" w:type="dxa"/>
            <w:right w:w="62" w:type="dxa"/>
          </w:tblCellMar>
          <w:tblLook w:val="0000"/>
        </w:tblPrEx>
        <w:tc>
          <w:tcPr>
            <w:tcW w:w="380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936B80">
            <w:pPr>
              <w:pStyle w:val="BodyText"/>
              <w:rPr>
                <w:lang w:val="en-NZ"/>
              </w:rPr>
            </w:pPr>
            <w:r w:rsidRPr="00936B80">
              <w:t>Overview of assessment</w:t>
            </w:r>
          </w:p>
        </w:tc>
        <w:tc>
          <w:tcPr>
            <w:tcW w:w="566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936B80">
            <w:pPr>
              <w:pStyle w:val="BodyText"/>
              <w:rPr>
                <w:lang w:val="en-NZ"/>
              </w:rPr>
            </w:pPr>
            <w:r w:rsidRPr="00936B80">
              <w:t>A</w:t>
            </w:r>
            <w:r w:rsidRPr="00936B80">
              <w:t>ssessment must be carried out in a manner that recognises the cultural and literacy requirements of the assessee and is appropriate to the work performed.</w:t>
            </w:r>
          </w:p>
        </w:tc>
      </w:tr>
      <w:tr w:rsidTr="00936B80">
        <w:tblPrEx>
          <w:tblW w:w="9462" w:type="dxa"/>
          <w:tblLayout w:type="fixed"/>
          <w:tblCellMar>
            <w:left w:w="62" w:type="dxa"/>
            <w:right w:w="62" w:type="dxa"/>
          </w:tblCellMar>
          <w:tblLook w:val="0000"/>
        </w:tblPrEx>
        <w:tc>
          <w:tcPr>
            <w:tcW w:w="380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936B80">
            <w:pPr>
              <w:pStyle w:val="BodyText"/>
              <w:rPr>
                <w:lang w:val="en-NZ"/>
              </w:rPr>
            </w:pPr>
            <w:r w:rsidRPr="00936B80">
              <w:t>Critical aspects for assessment and evidence required to demonstrate competency in this unit</w:t>
            </w:r>
          </w:p>
        </w:tc>
        <w:tc>
          <w:tcPr>
            <w:tcW w:w="566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936B80" w:rsidP="00936B80">
            <w:pPr>
              <w:pStyle w:val="BodyText"/>
            </w:pPr>
            <w:r w:rsidRPr="00936B80">
              <w:t>Evidence of ability to:</w:t>
            </w:r>
          </w:p>
          <w:p w:rsidR="00000000" w:rsidRPr="00936B80" w:rsidP="00936B80">
            <w:pPr>
              <w:pStyle w:val="ListBullet"/>
            </w:pPr>
            <w:r w:rsidRPr="00936B80">
              <w:t>prepare lime, flocculant and saccharate for addition</w:t>
            </w:r>
          </w:p>
          <w:p w:rsidR="00000000" w:rsidRPr="00936B80" w:rsidP="00936B80">
            <w:pPr>
              <w:pStyle w:val="ListBullet"/>
            </w:pPr>
            <w:r w:rsidRPr="00936B80">
              <w:t>set up and start up the process in both automatic and manual modes</w:t>
            </w:r>
          </w:p>
          <w:p w:rsidR="00000000" w:rsidRPr="00936B80" w:rsidP="00936B80">
            <w:pPr>
              <w:pStyle w:val="ListBullet"/>
            </w:pPr>
            <w:r w:rsidRPr="00936B80">
              <w:t>monitor the process and equipment operation</w:t>
            </w:r>
          </w:p>
          <w:p w:rsidR="00000000" w:rsidRPr="00936B80" w:rsidP="00936B80">
            <w:pPr>
              <w:pStyle w:val="ListBullet"/>
            </w:pPr>
            <w:r w:rsidRPr="00936B80">
              <w:t>take corrective action in response to out-of-specification results</w:t>
            </w:r>
          </w:p>
          <w:p w:rsidR="00000000" w:rsidRPr="00936B80" w:rsidP="00936B80">
            <w:pPr>
              <w:pStyle w:val="ListBullet"/>
            </w:pPr>
            <w:r w:rsidRPr="00936B80">
              <w:t>record workplace information</w:t>
            </w:r>
          </w:p>
          <w:p w:rsidR="00000000" w:rsidRPr="00936B80" w:rsidP="00936B80">
            <w:pPr>
              <w:pStyle w:val="ListBullet"/>
            </w:pPr>
            <w:r w:rsidRPr="00936B80">
              <w:t>demonstrate shift handover procedure</w:t>
            </w:r>
          </w:p>
          <w:p w:rsidR="00000000" w:rsidP="00936B80">
            <w:pPr>
              <w:pStyle w:val="ListBullet"/>
              <w:rPr>
                <w:lang w:val="en-NZ"/>
              </w:rPr>
            </w:pPr>
            <w:r w:rsidRPr="00936B80">
              <w:t>shut down equipment in response to an emergency situation</w:t>
            </w:r>
          </w:p>
        </w:tc>
      </w:tr>
      <w:tr w:rsidTr="00936B80">
        <w:tblPrEx>
          <w:tblW w:w="9462" w:type="dxa"/>
          <w:tblLayout w:type="fixed"/>
          <w:tblCellMar>
            <w:left w:w="62" w:type="dxa"/>
            <w:right w:w="62" w:type="dxa"/>
          </w:tblCellMar>
          <w:tblLook w:val="0000"/>
        </w:tblPrEx>
        <w:tc>
          <w:tcPr>
            <w:tcW w:w="380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936B80">
            <w:pPr>
              <w:pStyle w:val="BodyText"/>
              <w:rPr>
                <w:lang w:val="en-NZ"/>
              </w:rPr>
            </w:pPr>
            <w:r w:rsidRPr="00936B80">
              <w:t>Context of and specific resources for assessment</w:t>
            </w:r>
          </w:p>
        </w:tc>
        <w:tc>
          <w:tcPr>
            <w:tcW w:w="566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936B80" w:rsidP="00936B80">
            <w:pPr>
              <w:pStyle w:val="BodyText"/>
            </w:pPr>
            <w:r w:rsidRPr="00936B80">
              <w:t>Assessment must occur in a real or simulated workplace where the assessee has acce</w:t>
            </w:r>
            <w:r w:rsidRPr="00936B80">
              <w:t>ss to:</w:t>
            </w:r>
          </w:p>
          <w:p w:rsidR="00000000" w:rsidRPr="00936B80" w:rsidP="00936B80">
            <w:pPr>
              <w:pStyle w:val="ListBullet"/>
            </w:pPr>
            <w:r w:rsidRPr="00936B80">
              <w:t>Operating procedures and related advice on equipment operation including advice on safe work practices and environmental requirements</w:t>
            </w:r>
          </w:p>
          <w:p w:rsidR="00000000" w:rsidRPr="00936B80" w:rsidP="00936B80">
            <w:pPr>
              <w:pStyle w:val="ListBullet"/>
            </w:pPr>
            <w:r w:rsidRPr="00936B80">
              <w:t>Personal protective clothing and equipment</w:t>
            </w:r>
          </w:p>
          <w:p w:rsidR="00000000" w:rsidRPr="00936B80" w:rsidP="00936B80">
            <w:pPr>
              <w:pStyle w:val="ListBullet"/>
            </w:pPr>
            <w:r w:rsidRPr="00936B80">
              <w:t>Product and process specifications and operating parameters</w:t>
            </w:r>
          </w:p>
          <w:p w:rsidR="00000000" w:rsidRPr="00936B80" w:rsidP="00936B80">
            <w:pPr>
              <w:pStyle w:val="ListBullet"/>
            </w:pPr>
            <w:r w:rsidRPr="00936B80">
              <w:t>Juice clari</w:t>
            </w:r>
            <w:r w:rsidRPr="00936B80">
              <w:t>fication equipment</w:t>
            </w:r>
          </w:p>
          <w:p w:rsidR="00000000" w:rsidRPr="00936B80" w:rsidP="00936B80">
            <w:pPr>
              <w:pStyle w:val="ListBullet"/>
            </w:pPr>
            <w:r w:rsidRPr="00936B80">
              <w:t>Materials including raw juice to be clarified</w:t>
            </w:r>
          </w:p>
          <w:p w:rsidR="00000000" w:rsidRPr="00936B80" w:rsidP="00936B80">
            <w:pPr>
              <w:pStyle w:val="ListBullet"/>
            </w:pPr>
            <w:r w:rsidRPr="00936B80">
              <w:t>Services as required</w:t>
            </w:r>
          </w:p>
          <w:p w:rsidR="00000000" w:rsidRPr="00936B80" w:rsidP="00936B80">
            <w:pPr>
              <w:pStyle w:val="ListBullet"/>
            </w:pPr>
            <w:r w:rsidRPr="00936B80">
              <w:t>Material Safety Data Sheets where appropriate</w:t>
            </w:r>
          </w:p>
          <w:p w:rsidR="00000000" w:rsidRPr="00936B80" w:rsidP="00936B80">
            <w:pPr>
              <w:pStyle w:val="ListBullet"/>
            </w:pPr>
            <w:r w:rsidRPr="00936B80">
              <w:t>Housekeeping standards and procedures</w:t>
            </w:r>
          </w:p>
          <w:p w:rsidR="00000000" w:rsidRPr="00936B80" w:rsidP="00936B80">
            <w:pPr>
              <w:pStyle w:val="ListBullet"/>
            </w:pPr>
            <w:r w:rsidRPr="00936B80">
              <w:t>Advice on environmental management issues relevant to work responsibilities</w:t>
            </w:r>
          </w:p>
          <w:p w:rsidR="00000000" w:rsidRPr="00936B80" w:rsidP="00936B80">
            <w:pPr>
              <w:pStyle w:val="ListBullet"/>
            </w:pPr>
            <w:r w:rsidRPr="00936B80">
              <w:t>Workplace information recording systems, requirements and procedures</w:t>
            </w:r>
          </w:p>
          <w:p w:rsidR="00000000" w:rsidRPr="00936B80" w:rsidP="00936B80">
            <w:pPr>
              <w:pStyle w:val="BodyText"/>
            </w:pPr>
            <w:r w:rsidRPr="00936B80">
              <w:t>They may also require</w:t>
            </w:r>
          </w:p>
          <w:p w:rsidR="00000000" w:rsidP="00936B80">
            <w:pPr>
              <w:pStyle w:val="ListBullet"/>
              <w:rPr>
                <w:lang w:val="en-NZ"/>
              </w:rPr>
            </w:pPr>
            <w:r w:rsidRPr="00936B80">
              <w:t>Cleaning procedures, sampling schedule and procedures and maintenance procedures and tools depending on the work requirements.</w:t>
            </w:r>
          </w:p>
        </w:tc>
      </w:tr>
      <w:tr w:rsidTr="00936B80">
        <w:tblPrEx>
          <w:tblW w:w="9462" w:type="dxa"/>
          <w:tblLayout w:type="fixed"/>
          <w:tblCellMar>
            <w:left w:w="62" w:type="dxa"/>
            <w:right w:w="62" w:type="dxa"/>
          </w:tblCellMar>
          <w:tblLook w:val="0000"/>
        </w:tblPrEx>
        <w:tc>
          <w:tcPr>
            <w:tcW w:w="380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936B80">
            <w:pPr>
              <w:pStyle w:val="BodyText"/>
              <w:rPr>
                <w:lang w:val="en-NZ"/>
              </w:rPr>
            </w:pPr>
            <w:r w:rsidRPr="00936B80">
              <w:t>Method of assessment</w:t>
            </w:r>
          </w:p>
        </w:tc>
        <w:tc>
          <w:tcPr>
            <w:tcW w:w="566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936B80" w:rsidP="00936B80">
            <w:pPr>
              <w:pStyle w:val="BodyText"/>
            </w:pPr>
            <w:r w:rsidRPr="00936B80">
              <w:t xml:space="preserve">Other units of </w:t>
            </w:r>
            <w:r w:rsidRPr="00936B80">
              <w:t>competency relevant to the work role should be assessed in conjunction with this unit. This may include:</w:t>
            </w:r>
          </w:p>
          <w:p w:rsidR="00000000" w:rsidRPr="00936B80" w:rsidP="00936B80">
            <w:pPr>
              <w:pStyle w:val="ListBullet"/>
            </w:pPr>
            <w:r w:rsidRPr="00936B80">
              <w:t>SUG202A Collect and prepare samples</w:t>
            </w:r>
          </w:p>
          <w:p w:rsidR="00000000" w:rsidRPr="00936B80" w:rsidP="00936B80">
            <w:pPr>
              <w:pStyle w:val="ListBullet"/>
            </w:pPr>
            <w:r w:rsidRPr="00936B80">
              <w:t>SUG213A Perform standard tests</w:t>
            </w:r>
          </w:p>
          <w:p w:rsidR="00000000" w:rsidP="00936B80">
            <w:pPr>
              <w:pStyle w:val="ListBullet"/>
              <w:rPr>
                <w:lang w:val="en-NZ"/>
              </w:rPr>
            </w:pPr>
            <w:r w:rsidRPr="00936B80">
              <w:t>FDFOP2030A Operate a process control interface</w:t>
            </w:r>
          </w:p>
        </w:tc>
      </w:tr>
      <w:tr w:rsidTr="00936B80">
        <w:tblPrEx>
          <w:tblW w:w="9462" w:type="dxa"/>
          <w:tblLayout w:type="fixed"/>
          <w:tblCellMar>
            <w:left w:w="62" w:type="dxa"/>
            <w:right w:w="62" w:type="dxa"/>
          </w:tblCellMar>
          <w:tblLook w:val="0000"/>
        </w:tblPrEx>
        <w:tc>
          <w:tcPr>
            <w:tcW w:w="380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936B80">
            <w:pPr>
              <w:pStyle w:val="BodyText"/>
              <w:rPr>
                <w:lang w:val="en-NZ"/>
              </w:rPr>
            </w:pPr>
            <w:r w:rsidRPr="00936B80">
              <w:t>Guidance information for assessment</w:t>
            </w:r>
          </w:p>
        </w:tc>
        <w:tc>
          <w:tcPr>
            <w:tcW w:w="566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936B80" w:rsidP="00936B80">
            <w:pPr>
              <w:pStyle w:val="BodyText"/>
            </w:pPr>
            <w:r w:rsidRPr="00936B80">
              <w:t>To ensure consistency in one's performance, competency should be demonstrated on more than one occasion over a period of time in order to cover a variety of circumstances, cases and responsibilities, and where possible, over a number of assessment activit</w:t>
            </w:r>
            <w:r w:rsidRPr="00936B80">
              <w:t>ies.</w:t>
            </w:r>
          </w:p>
        </w:tc>
      </w:tr>
    </w:tbl>
    <w:p w:rsidR="00000000" w:rsidRPr="00936B80" w:rsidP="00936B80">
      <w:pPr>
        <w:pStyle w:val="BodyText"/>
      </w:pPr>
    </w:p>
    <w:p w:rsidR="00000000" w:rsidRPr="00936B80" w:rsidP="00936B80">
      <w:pPr>
        <w:pStyle w:val="AllowPageBreak"/>
      </w:pPr>
    </w:p>
    <w:p w:rsidR="00000000" w:rsidRPr="00936B80" w:rsidP="00936B80">
      <w:pPr>
        <w:pStyle w:val="Heading1"/>
      </w:pPr>
      <w:bookmarkStart w:id="11" w:name="O_391265"/>
      <w:bookmarkEnd w:id="11"/>
      <w:r w:rsidRPr="00936B80">
        <w:t>Range Statement</w:t>
      </w:r>
    </w:p>
    <w:tbl>
      <w:tblPr>
        <w:tblW w:w="9462" w:type="dxa"/>
        <w:tblLayout w:type="fixed"/>
        <w:tblCellMar>
          <w:left w:w="62" w:type="dxa"/>
          <w:right w:w="62" w:type="dxa"/>
        </w:tblCellMar>
        <w:tblLook w:val="0000"/>
      </w:tblPr>
      <w:tblGrid>
        <w:gridCol w:w="3800"/>
        <w:gridCol w:w="5662"/>
      </w:tblGrid>
      <w:tr w:rsidTr="00936B80">
        <w:tblPrEx>
          <w:tblW w:w="9462" w:type="dxa"/>
          <w:tblLayout w:type="fixed"/>
          <w:tblCellMar>
            <w:left w:w="62" w:type="dxa"/>
            <w:right w:w="62" w:type="dxa"/>
          </w:tblCellMar>
          <w:tblLook w:val="0000"/>
        </w:tblPrEx>
        <w:tc>
          <w:tcPr>
            <w:tcW w:w="9462" w:type="dxa"/>
            <w:gridSpan w:val="2"/>
            <w:tcBorders>
              <w:top w:val="single" w:sz="4" w:space="0" w:color="C0C0C0"/>
              <w:left w:val="single" w:sz="4" w:space="0" w:color="auto"/>
              <w:bottom w:val="single" w:sz="4" w:space="0" w:color="auto"/>
              <w:right w:val="single" w:sz="4" w:space="0" w:color="auto"/>
            </w:tcBorders>
            <w:tcMar>
              <w:top w:w="0" w:type="dxa"/>
              <w:left w:w="62" w:type="dxa"/>
              <w:bottom w:w="0" w:type="dxa"/>
              <w:right w:w="62" w:type="dxa"/>
            </w:tcMar>
          </w:tcPr>
          <w:p w:rsidR="00000000" w:rsidP="00936B80">
            <w:pPr>
              <w:pStyle w:val="BodyText"/>
              <w:rPr>
                <w:lang w:val="en-NZ"/>
              </w:rPr>
            </w:pPr>
            <w:r w:rsidRPr="00936B80">
              <w:t>The range statement relates to the unit of competency as a whole. It allows for different work environments and situations that may affect performance. Bold italicised wording, if used in the performance criteria, is</w:t>
            </w:r>
            <w:r w:rsidRPr="00936B80">
              <w:t xml:space="preserve"> detailed below. Essential operating conditions that may be present with training and assessment (depending on the work situation, needs of the candidate, accessibility of the item, and local industry and regional contexts) may also be included.</w:t>
            </w:r>
          </w:p>
        </w:tc>
      </w:tr>
      <w:tr w:rsidTr="00936B80">
        <w:tblPrEx>
          <w:tblW w:w="9462" w:type="dxa"/>
          <w:tblLayout w:type="fixed"/>
          <w:tblCellMar>
            <w:left w:w="62" w:type="dxa"/>
            <w:right w:w="62" w:type="dxa"/>
          </w:tblCellMar>
          <w:tblLook w:val="0000"/>
        </w:tblPrEx>
        <w:tc>
          <w:tcPr>
            <w:tcW w:w="380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936B80">
            <w:pPr>
              <w:pStyle w:val="BodyText"/>
              <w:rPr>
                <w:lang w:val="en-NZ"/>
              </w:rPr>
            </w:pPr>
            <w:r w:rsidRPr="00936B80">
              <w:rPr>
                <w:rStyle w:val="SpecialBold"/>
              </w:rPr>
              <w:t>Policies</w:t>
            </w:r>
            <w:r w:rsidRPr="00936B80">
              <w:rPr>
                <w:rStyle w:val="SpecialBold"/>
              </w:rPr>
              <w:t xml:space="preserve"> and procedures</w:t>
            </w:r>
          </w:p>
        </w:tc>
        <w:tc>
          <w:tcPr>
            <w:tcW w:w="566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936B80">
            <w:pPr>
              <w:pStyle w:val="BodyText"/>
              <w:rPr>
                <w:lang w:val="en-NZ"/>
              </w:rPr>
            </w:pPr>
            <w:r w:rsidRPr="00936B80">
              <w:t xml:space="preserve">Work is carried out in accordance with company policies and procedures, licensing requirements, manufacturer's recommendations, legislative requirements, codes of practice </w:t>
            </w:r>
            <w:r w:rsidRPr="00936B80">
              <w:t>and industrial awards and agreements.</w:t>
            </w:r>
          </w:p>
        </w:tc>
      </w:tr>
      <w:tr w:rsidTr="00936B80">
        <w:tblPrEx>
          <w:tblW w:w="9462" w:type="dxa"/>
          <w:tblLayout w:type="fixed"/>
          <w:tblCellMar>
            <w:left w:w="62" w:type="dxa"/>
            <w:right w:w="62" w:type="dxa"/>
          </w:tblCellMar>
          <w:tblLook w:val="0000"/>
        </w:tblPrEx>
        <w:tc>
          <w:tcPr>
            <w:tcW w:w="380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936B80">
            <w:pPr>
              <w:pStyle w:val="BodyText"/>
              <w:rPr>
                <w:lang w:val="en-NZ"/>
              </w:rPr>
            </w:pPr>
            <w:r w:rsidRPr="00936B80">
              <w:rPr>
                <w:rStyle w:val="SpecialBold"/>
              </w:rPr>
              <w:t>Codes of practice</w:t>
            </w:r>
          </w:p>
        </w:tc>
        <w:tc>
          <w:tcPr>
            <w:tcW w:w="566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936B80">
            <w:pPr>
              <w:pStyle w:val="BodyText"/>
              <w:rPr>
                <w:lang w:val="en-NZ"/>
              </w:rPr>
            </w:pPr>
            <w:r w:rsidRPr="00936B80">
              <w:t>Codes of pr</w:t>
            </w:r>
            <w:r w:rsidRPr="00936B80">
              <w:t>actice include the Sugar Milling Operations Industry Code of Practice.</w:t>
            </w:r>
          </w:p>
        </w:tc>
      </w:tr>
      <w:tr w:rsidTr="00936B80">
        <w:tblPrEx>
          <w:tblW w:w="9462" w:type="dxa"/>
          <w:tblLayout w:type="fixed"/>
          <w:tblCellMar>
            <w:left w:w="62" w:type="dxa"/>
            <w:right w:w="62" w:type="dxa"/>
          </w:tblCellMar>
          <w:tblLook w:val="0000"/>
        </w:tblPrEx>
        <w:tc>
          <w:tcPr>
            <w:tcW w:w="380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936B80">
            <w:pPr>
              <w:pStyle w:val="BodyText"/>
              <w:rPr>
                <w:lang w:val="en-NZ"/>
              </w:rPr>
            </w:pPr>
            <w:r w:rsidRPr="00936B80">
              <w:rPr>
                <w:rStyle w:val="SpecialBold"/>
              </w:rPr>
              <w:t>Workplace information</w:t>
            </w:r>
          </w:p>
        </w:tc>
        <w:tc>
          <w:tcPr>
            <w:tcW w:w="566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936B80" w:rsidP="00936B80">
            <w:pPr>
              <w:pStyle w:val="BodyText"/>
            </w:pPr>
            <w:r w:rsidRPr="00936B80">
              <w:t>Workplace information can include:</w:t>
            </w:r>
          </w:p>
          <w:p w:rsidR="00000000" w:rsidRPr="00936B80" w:rsidP="00936B80">
            <w:pPr>
              <w:pStyle w:val="ListBullet"/>
            </w:pPr>
            <w:r w:rsidRPr="00936B80">
              <w:t>Standard Operating Procedures (SOPs)</w:t>
            </w:r>
          </w:p>
          <w:p w:rsidR="00000000" w:rsidRPr="00936B80" w:rsidP="00936B80">
            <w:pPr>
              <w:pStyle w:val="ListBullet"/>
            </w:pPr>
            <w:r w:rsidRPr="00936B80">
              <w:t>specifications</w:t>
            </w:r>
          </w:p>
          <w:p w:rsidR="00000000" w:rsidRPr="00936B80" w:rsidP="00936B80">
            <w:pPr>
              <w:pStyle w:val="ListBullet"/>
            </w:pPr>
            <w:r w:rsidRPr="00936B80">
              <w:t>production schedules</w:t>
            </w:r>
          </w:p>
          <w:p w:rsidR="00000000" w:rsidP="00936B80">
            <w:pPr>
              <w:pStyle w:val="ListBullet"/>
              <w:rPr>
                <w:lang w:val="en-NZ"/>
              </w:rPr>
            </w:pPr>
            <w:r w:rsidRPr="00936B80">
              <w:t>manufacturer's specifications.</w:t>
            </w:r>
          </w:p>
        </w:tc>
      </w:tr>
      <w:tr w:rsidTr="00936B80">
        <w:tblPrEx>
          <w:tblW w:w="9462" w:type="dxa"/>
          <w:tblLayout w:type="fixed"/>
          <w:tblCellMar>
            <w:left w:w="62" w:type="dxa"/>
            <w:right w:w="62" w:type="dxa"/>
          </w:tblCellMar>
          <w:tblLook w:val="0000"/>
        </w:tblPrEx>
        <w:tc>
          <w:tcPr>
            <w:tcW w:w="380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936B80">
            <w:pPr>
              <w:pStyle w:val="BodyText"/>
              <w:rPr>
                <w:lang w:val="en-NZ"/>
              </w:rPr>
            </w:pPr>
            <w:r w:rsidRPr="00936B80">
              <w:rPr>
                <w:rStyle w:val="SpecialBold"/>
              </w:rPr>
              <w:t>Clarification equipment</w:t>
            </w:r>
          </w:p>
        </w:tc>
        <w:tc>
          <w:tcPr>
            <w:tcW w:w="566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936B80" w:rsidP="00936B80">
            <w:pPr>
              <w:pStyle w:val="BodyText"/>
            </w:pPr>
            <w:r w:rsidRPr="00936B80">
              <w:t>Clarification equipment may include:</w:t>
            </w:r>
          </w:p>
          <w:p w:rsidR="00000000" w:rsidRPr="00936B80" w:rsidP="00936B80">
            <w:pPr>
              <w:pStyle w:val="ListBullet"/>
            </w:pPr>
            <w:r w:rsidRPr="00936B80">
              <w:t>tanks</w:t>
            </w:r>
          </w:p>
          <w:p w:rsidR="00000000" w:rsidRPr="00936B80" w:rsidP="00936B80">
            <w:pPr>
              <w:pStyle w:val="ListBullet"/>
            </w:pPr>
            <w:r w:rsidRPr="00936B80">
              <w:t>juice pumps</w:t>
            </w:r>
          </w:p>
          <w:p w:rsidR="00000000" w:rsidRPr="00936B80" w:rsidP="00936B80">
            <w:pPr>
              <w:pStyle w:val="ListBullet"/>
            </w:pPr>
            <w:r w:rsidRPr="00936B80">
              <w:t>juice heaters</w:t>
            </w:r>
          </w:p>
          <w:p w:rsidR="00000000" w:rsidRPr="00936B80" w:rsidP="00936B80">
            <w:pPr>
              <w:pStyle w:val="ListBullet"/>
            </w:pPr>
            <w:r w:rsidRPr="00936B80">
              <w:t>flash tank</w:t>
            </w:r>
          </w:p>
          <w:p w:rsidR="00000000" w:rsidRPr="00936B80" w:rsidP="00936B80">
            <w:pPr>
              <w:pStyle w:val="ListBullet"/>
            </w:pPr>
            <w:r w:rsidRPr="00936B80">
              <w:t>lime storage and mixing plant</w:t>
            </w:r>
          </w:p>
          <w:p w:rsidR="00000000" w:rsidRPr="00936B80" w:rsidP="00936B80">
            <w:pPr>
              <w:pStyle w:val="ListBullet"/>
            </w:pPr>
            <w:r w:rsidRPr="00936B80">
              <w:t>saccharate tank</w:t>
            </w:r>
          </w:p>
          <w:p w:rsidR="00000000" w:rsidRPr="00936B80" w:rsidP="00936B80">
            <w:pPr>
              <w:pStyle w:val="ListBullet"/>
            </w:pPr>
            <w:r w:rsidRPr="00936B80">
              <w:t>flocculant addition system</w:t>
            </w:r>
          </w:p>
          <w:p w:rsidR="00000000" w:rsidP="00936B80">
            <w:pPr>
              <w:pStyle w:val="ListBullet"/>
              <w:rPr>
                <w:lang w:val="en-NZ"/>
              </w:rPr>
            </w:pPr>
            <w:r w:rsidRPr="00936B80">
              <w:t>clarifier.</w:t>
            </w:r>
          </w:p>
        </w:tc>
      </w:tr>
      <w:tr w:rsidTr="00936B80">
        <w:tblPrEx>
          <w:tblW w:w="9462" w:type="dxa"/>
          <w:tblLayout w:type="fixed"/>
          <w:tblCellMar>
            <w:left w:w="62" w:type="dxa"/>
            <w:right w:w="62" w:type="dxa"/>
          </w:tblCellMar>
          <w:tblLook w:val="0000"/>
        </w:tblPrEx>
        <w:tc>
          <w:tcPr>
            <w:tcW w:w="380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936B80">
            <w:pPr>
              <w:pStyle w:val="BodyText"/>
              <w:rPr>
                <w:lang w:val="en-NZ"/>
              </w:rPr>
            </w:pPr>
            <w:r w:rsidRPr="00936B80">
              <w:rPr>
                <w:rStyle w:val="SpecialBold"/>
              </w:rPr>
              <w:t>Equipment status</w:t>
            </w:r>
          </w:p>
        </w:tc>
        <w:tc>
          <w:tcPr>
            <w:tcW w:w="566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936B80" w:rsidP="00936B80">
            <w:pPr>
              <w:pStyle w:val="BodyText"/>
            </w:pPr>
            <w:r w:rsidRPr="00936B80">
              <w:t>Confirming equipment status involves</w:t>
            </w:r>
          </w:p>
          <w:p w:rsidR="00000000" w:rsidRPr="00936B80" w:rsidP="00936B80">
            <w:pPr>
              <w:pStyle w:val="ListBullet"/>
            </w:pPr>
            <w:r w:rsidRPr="00936B80">
              <w:t>conducting relevant pre-start checks</w:t>
            </w:r>
          </w:p>
          <w:p w:rsidR="00000000" w:rsidRPr="00936B80" w:rsidP="00936B80">
            <w:pPr>
              <w:pStyle w:val="ListBullet"/>
            </w:pPr>
            <w:r w:rsidRPr="00936B80">
              <w:t>confirming that housekeeping standards are met</w:t>
            </w:r>
          </w:p>
          <w:p w:rsidR="00000000" w:rsidRPr="00936B80" w:rsidP="00936B80">
            <w:pPr>
              <w:pStyle w:val="ListBullet"/>
            </w:pPr>
            <w:r w:rsidRPr="00936B80">
              <w:t>all safety guards are in place</w:t>
            </w:r>
          </w:p>
          <w:p w:rsidR="00000000" w:rsidRPr="00936B80" w:rsidP="00936B80">
            <w:pPr>
              <w:pStyle w:val="ListBullet"/>
            </w:pPr>
            <w:r w:rsidRPr="00936B80">
              <w:t>equipment is operational.</w:t>
            </w:r>
          </w:p>
          <w:p w:rsidR="00000000" w:rsidP="00936B80">
            <w:pPr>
              <w:pStyle w:val="BodyText"/>
              <w:rPr>
                <w:lang w:val="en-NZ"/>
              </w:rPr>
            </w:pPr>
            <w:r w:rsidRPr="00936B80">
              <w:t>It may also involve checking operation/calibration of measuring instrumentation.</w:t>
            </w:r>
          </w:p>
        </w:tc>
      </w:tr>
      <w:tr w:rsidTr="00936B80">
        <w:tblPrEx>
          <w:tblW w:w="9462" w:type="dxa"/>
          <w:tblLayout w:type="fixed"/>
          <w:tblCellMar>
            <w:left w:w="62" w:type="dxa"/>
            <w:right w:w="62" w:type="dxa"/>
          </w:tblCellMar>
          <w:tblLook w:val="0000"/>
        </w:tblPrEx>
        <w:tc>
          <w:tcPr>
            <w:tcW w:w="380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936B80">
            <w:pPr>
              <w:pStyle w:val="BodyText"/>
              <w:rPr>
                <w:lang w:val="en-NZ"/>
              </w:rPr>
            </w:pPr>
            <w:r w:rsidRPr="00936B80">
              <w:rPr>
                <w:rStyle w:val="SpecialBold"/>
              </w:rPr>
              <w:t>Equipment operation and monitorin</w:t>
            </w:r>
            <w:r w:rsidRPr="00936B80">
              <w:rPr>
                <w:rStyle w:val="SpecialBold"/>
              </w:rPr>
              <w:t>g</w:t>
            </w:r>
          </w:p>
        </w:tc>
        <w:tc>
          <w:tcPr>
            <w:tcW w:w="566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936B80">
            <w:pPr>
              <w:pStyle w:val="BodyText"/>
              <w:rPr>
                <w:lang w:val="en-NZ"/>
              </w:rPr>
            </w:pPr>
            <w:r w:rsidRPr="00936B80">
              <w:t xml:space="preserve">Operation and monitoring of equipment and processes typically requires the use of control panels and systems. </w:t>
            </w:r>
          </w:p>
        </w:tc>
      </w:tr>
      <w:tr w:rsidTr="00936B80">
        <w:tblPrEx>
          <w:tblW w:w="9462" w:type="dxa"/>
          <w:tblLayout w:type="fixed"/>
          <w:tblCellMar>
            <w:left w:w="62" w:type="dxa"/>
            <w:right w:w="62" w:type="dxa"/>
          </w:tblCellMar>
          <w:tblLook w:val="0000"/>
        </w:tblPrEx>
        <w:tc>
          <w:tcPr>
            <w:tcW w:w="380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936B80">
            <w:pPr>
              <w:pStyle w:val="BodyText"/>
              <w:rPr>
                <w:lang w:val="en-NZ"/>
              </w:rPr>
            </w:pPr>
            <w:r w:rsidRPr="00936B80">
              <w:rPr>
                <w:rStyle w:val="SpecialBold"/>
              </w:rPr>
              <w:t>Services</w:t>
            </w:r>
          </w:p>
        </w:tc>
        <w:tc>
          <w:tcPr>
            <w:tcW w:w="566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936B80" w:rsidP="00936B80">
            <w:pPr>
              <w:pStyle w:val="BodyText"/>
            </w:pPr>
            <w:r w:rsidRPr="00936B80">
              <w:t>Services may include:</w:t>
            </w:r>
          </w:p>
          <w:p w:rsidR="00000000" w:rsidRPr="00936B80" w:rsidP="00936B80">
            <w:pPr>
              <w:pStyle w:val="ListBullet"/>
            </w:pPr>
            <w:r w:rsidRPr="00936B80">
              <w:t xml:space="preserve">power </w:t>
            </w:r>
          </w:p>
          <w:p w:rsidR="00000000" w:rsidRPr="00936B80" w:rsidP="00936B80">
            <w:pPr>
              <w:pStyle w:val="ListBullet"/>
            </w:pPr>
            <w:r w:rsidRPr="00936B80">
              <w:t>steam</w:t>
            </w:r>
          </w:p>
          <w:p w:rsidR="00000000" w:rsidRPr="00936B80" w:rsidP="00936B80">
            <w:pPr>
              <w:pStyle w:val="ListBullet"/>
            </w:pPr>
            <w:r w:rsidRPr="00936B80">
              <w:t>water</w:t>
            </w:r>
          </w:p>
          <w:p w:rsidR="00000000" w:rsidP="00936B80">
            <w:pPr>
              <w:pStyle w:val="ListBullet"/>
              <w:rPr>
                <w:lang w:val="en-NZ"/>
              </w:rPr>
            </w:pPr>
            <w:r w:rsidRPr="00936B80">
              <w:t>compressed and instrumentation air.</w:t>
            </w:r>
          </w:p>
        </w:tc>
      </w:tr>
      <w:tr w:rsidTr="00936B80">
        <w:tblPrEx>
          <w:tblW w:w="9462" w:type="dxa"/>
          <w:tblLayout w:type="fixed"/>
          <w:tblCellMar>
            <w:left w:w="62" w:type="dxa"/>
            <w:right w:w="62" w:type="dxa"/>
          </w:tblCellMar>
          <w:tblLook w:val="0000"/>
        </w:tblPrEx>
        <w:tc>
          <w:tcPr>
            <w:tcW w:w="380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936B80">
            <w:pPr>
              <w:pStyle w:val="BodyText"/>
              <w:rPr>
                <w:lang w:val="en-NZ"/>
              </w:rPr>
            </w:pPr>
            <w:r w:rsidRPr="00936B80">
              <w:rPr>
                <w:rStyle w:val="SpecialBold"/>
              </w:rPr>
              <w:t>Clarification materials</w:t>
            </w:r>
          </w:p>
        </w:tc>
        <w:tc>
          <w:tcPr>
            <w:tcW w:w="566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936B80" w:rsidP="00936B80">
            <w:pPr>
              <w:pStyle w:val="BodyText"/>
            </w:pPr>
            <w:r w:rsidRPr="00936B80">
              <w:t>Materials can include lime</w:t>
            </w:r>
          </w:p>
          <w:p w:rsidR="00000000" w:rsidRPr="00936B80" w:rsidP="00936B80">
            <w:pPr>
              <w:pStyle w:val="ListBullet"/>
            </w:pPr>
            <w:r w:rsidRPr="00936B80">
              <w:t>f</w:t>
            </w:r>
            <w:r w:rsidRPr="00936B80">
              <w:t>locculants</w:t>
            </w:r>
          </w:p>
          <w:p w:rsidR="00000000" w:rsidRPr="00936B80" w:rsidP="00936B80">
            <w:pPr>
              <w:pStyle w:val="ListBullet"/>
            </w:pPr>
            <w:r w:rsidRPr="00936B80">
              <w:t>enzymes</w:t>
            </w:r>
          </w:p>
          <w:p w:rsidR="00000000" w:rsidRPr="00936B80" w:rsidP="00936B80">
            <w:pPr>
              <w:pStyle w:val="ListBullet"/>
            </w:pPr>
            <w:r w:rsidRPr="00936B80">
              <w:t>phosphoric acid</w:t>
            </w:r>
          </w:p>
          <w:p w:rsidR="00000000" w:rsidRPr="00936B80" w:rsidP="00936B80">
            <w:pPr>
              <w:pStyle w:val="ListBullet"/>
            </w:pPr>
            <w:r w:rsidRPr="00936B80">
              <w:t>saccharate</w:t>
            </w:r>
          </w:p>
          <w:p w:rsidR="00000000" w:rsidP="00936B80">
            <w:pPr>
              <w:pStyle w:val="ListBullet"/>
              <w:rPr>
                <w:lang w:val="en-NZ"/>
              </w:rPr>
            </w:pPr>
            <w:r w:rsidRPr="00936B80">
              <w:t>preservatives.</w:t>
            </w:r>
          </w:p>
        </w:tc>
      </w:tr>
      <w:tr w:rsidTr="00936B80">
        <w:tblPrEx>
          <w:tblW w:w="9462" w:type="dxa"/>
          <w:tblLayout w:type="fixed"/>
          <w:tblCellMar>
            <w:left w:w="62" w:type="dxa"/>
            <w:right w:w="62" w:type="dxa"/>
          </w:tblCellMar>
          <w:tblLook w:val="0000"/>
        </w:tblPrEx>
        <w:tc>
          <w:tcPr>
            <w:tcW w:w="380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936B80">
            <w:pPr>
              <w:pStyle w:val="BodyText"/>
              <w:rPr>
                <w:lang w:val="en-NZ"/>
              </w:rPr>
            </w:pPr>
            <w:r w:rsidRPr="00936B80">
              <w:rPr>
                <w:rStyle w:val="SpecialBold"/>
              </w:rPr>
              <w:t>Tests</w:t>
            </w:r>
          </w:p>
        </w:tc>
        <w:tc>
          <w:tcPr>
            <w:tcW w:w="566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936B80">
            <w:pPr>
              <w:pStyle w:val="BodyText"/>
              <w:rPr>
                <w:lang w:val="en-NZ"/>
              </w:rPr>
            </w:pPr>
            <w:r w:rsidRPr="00936B80">
              <w:t>Where tests are conducted as part of operation, typical requirements are for pH and thymol testing.</w:t>
            </w:r>
          </w:p>
        </w:tc>
      </w:tr>
      <w:tr w:rsidTr="00936B80">
        <w:tblPrEx>
          <w:tblW w:w="9462" w:type="dxa"/>
          <w:tblLayout w:type="fixed"/>
          <w:tblCellMar>
            <w:left w:w="62" w:type="dxa"/>
            <w:right w:w="62" w:type="dxa"/>
          </w:tblCellMar>
          <w:tblLook w:val="0000"/>
        </w:tblPrEx>
        <w:tc>
          <w:tcPr>
            <w:tcW w:w="380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936B80">
            <w:pPr>
              <w:pStyle w:val="BodyText"/>
              <w:rPr>
                <w:lang w:val="en-NZ"/>
              </w:rPr>
            </w:pPr>
            <w:r w:rsidRPr="00936B80">
              <w:rPr>
                <w:rStyle w:val="SpecialBold"/>
              </w:rPr>
              <w:t>Process monitoring</w:t>
            </w:r>
          </w:p>
        </w:tc>
        <w:tc>
          <w:tcPr>
            <w:tcW w:w="566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936B80">
            <w:pPr>
              <w:pStyle w:val="BodyText"/>
              <w:rPr>
                <w:lang w:val="en-NZ"/>
              </w:rPr>
            </w:pPr>
            <w:r w:rsidRPr="00936B80">
              <w:t>Monitoring the process may involve the use of production data such as performance control charts.</w:t>
            </w:r>
          </w:p>
        </w:tc>
      </w:tr>
      <w:tr w:rsidTr="00936B80">
        <w:tblPrEx>
          <w:tblW w:w="9462" w:type="dxa"/>
          <w:tblLayout w:type="fixed"/>
          <w:tblCellMar>
            <w:left w:w="62" w:type="dxa"/>
            <w:right w:w="62" w:type="dxa"/>
          </w:tblCellMar>
          <w:tblLook w:val="0000"/>
        </w:tblPrEx>
        <w:tc>
          <w:tcPr>
            <w:tcW w:w="380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936B80">
            <w:pPr>
              <w:pStyle w:val="BodyText"/>
              <w:rPr>
                <w:lang w:val="en-NZ"/>
              </w:rPr>
            </w:pPr>
            <w:r w:rsidRPr="00936B80">
              <w:rPr>
                <w:rStyle w:val="SpecialBold"/>
              </w:rPr>
              <w:t>Control points</w:t>
            </w:r>
          </w:p>
        </w:tc>
        <w:tc>
          <w:tcPr>
            <w:tcW w:w="566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936B80">
            <w:pPr>
              <w:pStyle w:val="BodyText"/>
              <w:rPr>
                <w:lang w:val="en-NZ"/>
              </w:rPr>
            </w:pPr>
            <w:r w:rsidRPr="00936B80">
              <w:t>Control points refer to those key points in a work process which must be monitored and controlled.</w:t>
            </w:r>
          </w:p>
        </w:tc>
      </w:tr>
      <w:tr w:rsidTr="00936B80">
        <w:tblPrEx>
          <w:tblW w:w="9462" w:type="dxa"/>
          <w:tblLayout w:type="fixed"/>
          <w:tblCellMar>
            <w:left w:w="62" w:type="dxa"/>
            <w:right w:w="62" w:type="dxa"/>
          </w:tblCellMar>
          <w:tblLook w:val="0000"/>
        </w:tblPrEx>
        <w:tc>
          <w:tcPr>
            <w:tcW w:w="380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936B80">
            <w:pPr>
              <w:pStyle w:val="BodyText"/>
              <w:rPr>
                <w:lang w:val="en-NZ"/>
              </w:rPr>
            </w:pPr>
            <w:r w:rsidRPr="00936B80">
              <w:rPr>
                <w:rStyle w:val="SpecialBold"/>
              </w:rPr>
              <w:t>Teamwork</w:t>
            </w:r>
          </w:p>
        </w:tc>
        <w:tc>
          <w:tcPr>
            <w:tcW w:w="566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936B80">
            <w:pPr>
              <w:pStyle w:val="BodyText"/>
              <w:rPr>
                <w:lang w:val="en-NZ"/>
              </w:rPr>
            </w:pPr>
            <w:r w:rsidRPr="00936B80">
              <w:t>Work may require the ability to work within a team environment.</w:t>
            </w:r>
          </w:p>
        </w:tc>
      </w:tr>
      <w:tr w:rsidTr="00936B80">
        <w:tblPrEx>
          <w:tblW w:w="9462" w:type="dxa"/>
          <w:tblLayout w:type="fixed"/>
          <w:tblCellMar>
            <w:left w:w="62" w:type="dxa"/>
            <w:right w:w="62" w:type="dxa"/>
          </w:tblCellMar>
          <w:tblLook w:val="0000"/>
        </w:tblPrEx>
        <w:tc>
          <w:tcPr>
            <w:tcW w:w="380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936B80">
            <w:pPr>
              <w:pStyle w:val="BodyText"/>
              <w:rPr>
                <w:lang w:val="en-NZ"/>
              </w:rPr>
            </w:pPr>
            <w:r w:rsidRPr="00936B80">
              <w:rPr>
                <w:rStyle w:val="SpecialBold"/>
              </w:rPr>
              <w:t>Information systems</w:t>
            </w:r>
          </w:p>
        </w:tc>
        <w:tc>
          <w:tcPr>
            <w:tcW w:w="566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936B80" w:rsidP="00936B80">
            <w:pPr>
              <w:pStyle w:val="BodyText"/>
            </w:pPr>
            <w:r w:rsidRPr="00936B80">
              <w:t>Information systems may be print or screen based.</w:t>
            </w:r>
          </w:p>
        </w:tc>
      </w:tr>
    </w:tbl>
    <w:p w:rsidR="00000000" w:rsidRPr="00936B80" w:rsidP="00936B80">
      <w:pPr>
        <w:pStyle w:val="BodyText"/>
      </w:pPr>
    </w:p>
    <w:p w:rsidR="00000000" w:rsidRPr="00936B80" w:rsidP="00936B80">
      <w:pPr>
        <w:pStyle w:val="AllowPageBreak"/>
      </w:pPr>
    </w:p>
    <w:p w:rsidR="00000000" w:rsidRPr="00936B80" w:rsidP="00936B80">
      <w:pPr>
        <w:pStyle w:val="Heading1"/>
      </w:pPr>
      <w:bookmarkStart w:id="12" w:name="O_391266"/>
      <w:bookmarkEnd w:id="12"/>
      <w:r w:rsidRPr="00936B80">
        <w:t>Unit Sector(s)</w:t>
      </w:r>
    </w:p>
    <w:p w:rsidR="00000000" w:rsidRPr="00936B80" w:rsidP="00936B80">
      <w:pPr>
        <w:pStyle w:val="BodyText"/>
      </w:pPr>
      <w:r w:rsidRPr="00936B80">
        <w:t>Sugar Milling.</w:t>
      </w:r>
    </w:p>
    <w:p w:rsidR="00000000" w:rsidRPr="00936B80" w:rsidP="00936B80"/>
    <w:sectPr w:rsidSect="00936B80">
      <w:headerReference w:type="default" r:id="rId10"/>
      <w:footerReference w:type="default" r:id="rId11"/>
      <w:pgSz w:w="11908" w:h="16833"/>
      <w:pgMar w:top="1700" w:right="1418" w:bottom="1700"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Palatino Linotype">
    <w:panose1 w:val="02040502050505030304"/>
    <w:charset w:val="00"/>
    <w:family w:val="roman"/>
    <w:pitch w:val="variable"/>
    <w:sig w:usb0="E0000287" w:usb1="40000013" w:usb2="00000000" w:usb3="00000000" w:csb0="0000019F" w:csb1="00000000"/>
  </w:font>
  <w:font w:name="Calibri">
    <w:panose1 w:val="020F0502020204030204"/>
    <w:charset w:val="00"/>
    <w:family w:val="swiss"/>
    <w:pitch w:val="variable"/>
    <w:sig w:usb0="E10002FF" w:usb1="4000ACFF" w:usb2="00000009"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2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36B80">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FE429F" w:rsidP="00FE429F">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36B80">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E429F" w:rsidP="00936B80">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fldChar w:fldCharType="begin"/>
    </w:r>
    <w:r>
      <w:instrText xml:space="preserve"> NUMPAGES  \* Arabic  \* MERGEFORMAT </w:instrText>
    </w:r>
    <w:r>
      <w:fldChar w:fldCharType="separate"/>
    </w:r>
    <w:r>
      <w:rPr>
        <w:noProof/>
      </w:rPr>
      <w:t>6</w:t>
    </w:r>
    <w:r>
      <w:rPr>
        <w:noProof/>
      </w:rPr>
      <w:fldChar w:fldCharType="end"/>
    </w:r>
  </w:p>
  <w:p w:rsidR="00FE429F" w:rsidP="00936B80">
    <w:pPr>
      <w:pStyle w:val="Footer"/>
      <w:framePr w:wrap="around"/>
    </w:pPr>
    <w:r>
      <w:t xml:space="preserve">© Commonwealth of Australia, </w:t>
    </w:r>
    <w:r>
      <w:fldChar w:fldCharType="begin"/>
    </w:r>
    <w:r>
      <w:instrText xml:space="preserve"> DATE  \@ "yyyy"  \* MERGEFORMAT </w:instrText>
    </w:r>
    <w:r>
      <w:fldChar w:fldCharType="separate"/>
    </w:r>
    <w:r>
      <w:rPr>
        <w:noProof/>
      </w:rPr>
      <w:t>2012</w:t>
    </w:r>
    <w:r>
      <w:fldChar w:fldCharType="end"/>
    </w:r>
    <w:r>
      <w:tab/>
    </w:r>
    <w:r>
      <w:fldChar w:fldCharType="begin"/>
    </w:r>
    <w:r>
      <w:instrText xml:space="preserve"> DOCPROPERTY  Author  \* MERGEFORMAT </w:instrText>
    </w:r>
    <w:r>
      <w:fldChar w:fldCharType="separate"/>
    </w:r>
    <w:r>
      <w:t>AgriFood Skills Australia</w:t>
    </w:r>
    <w:r>
      <w:fldChar w:fldCharType="end"/>
    </w:r>
  </w:p>
  <w:p w:rsidR="00FE429F" w:rsidP="00936B80">
    <w:pPr>
      <w:pStyle w:val="Footer"/>
      <w:framePr w:wrap="around" w:hAnchor="text" w:x="285"/>
      <w:pBdr>
        <w:top w:val="nil"/>
      </w:pBdr>
      <w:rPr>
        <w:szCs w:val="24"/>
      </w:rP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36B80">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FE429F" w:rsidP="00FE429F">
    <w:pPr>
      <w:pStyle w:val="BodyText"/>
    </w:pPr>
    <w:r>
      <w:rPr>
        <w:noProof/>
        <w:lang w:val="en-AU"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4032" cy="10953482"/>
          <wp:effectExtent l="19050" t="0" r="268" b="0"/>
          <wp:wrapNone/>
          <wp:docPr id="2" name="Picture 0" descr="titlepage.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a:stretch>
                    <a:fillRect/>
                  </a:stretch>
                </pic:blipFill>
                <pic:spPr>
                  <a:xfrm>
                    <a:off x="0" y="0"/>
                    <a:ext cx="7734032" cy="10953482"/>
                  </a:xfrm>
                  <a:prstGeom prst="rect">
                    <a:avLst/>
                  </a:prstGeom>
                </pic:spPr>
              </pic:pic>
            </a:graphicData>
          </a:graphic>
        </wp:anchor>
      </w:drawing>
    </w: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36B80">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E429F" w:rsidP="00936B80">
    <w:pPr>
      <w:pStyle w:val="Header"/>
      <w:framePr w:wrap="around"/>
    </w:pPr>
    <w:r>
      <w:fldChar w:fldCharType="begin"/>
    </w:r>
    <w:r>
      <w:instrText xml:space="preserve"> TITLE   \* MERGEFORMAT </w:instrText>
    </w:r>
    <w:r>
      <w:fldChar w:fldCharType="separate"/>
    </w:r>
    <w:r>
      <w:t>FDFSUG210A Operate a juice clarification process</w:t>
    </w:r>
    <w:r>
      <w:fldChar w:fldCharType="end"/>
    </w:r>
    <w:r>
      <w:tab/>
      <w:t xml:space="preserve">Date this document was generated: </w:t>
    </w:r>
    <w:r>
      <w:fldChar w:fldCharType="begin"/>
    </w:r>
    <w:r>
      <w:instrText xml:space="preserve"> CREATEDATE  \@ "d MMMM yyyy"  \* MERGEFORMAT </w:instrText>
    </w:r>
    <w:r>
      <w:fldChar w:fldCharType="separate"/>
    </w:r>
    <w:r>
      <w:rPr>
        <w:noProof/>
      </w:rPr>
      <w:t>27 May 2012</w:t>
    </w:r>
    <w:r>
      <w:rPr>
        <w:noProof/>
      </w:rPr>
      <w:fldChar w:fldCharType="end"/>
    </w:r>
  </w:p>
  <w:p w:rsidR="00FE429F" w:rsidP="00936B80">
    <w:pPr>
      <w:pStyle w:val="Header"/>
      <w:framePr w:wrap="around" w:hAnchor="text" w:x="285"/>
      <w:pBdr>
        <w:bottom w:val="nil"/>
      </w:pBdr>
      <w:rPr>
        <w:szCs w:val="24"/>
      </w:rP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F1C0E5CE"/>
    <w:lvl w:ilvl="0">
      <w:start w:val="1"/>
      <w:numFmt w:val="bullet"/>
      <w:pStyle w:val="ListBullet4"/>
      <w:lvlText w:val=""/>
      <w:lvlJc w:val="left"/>
      <w:pPr>
        <w:tabs>
          <w:tab w:val="num" w:pos="360"/>
        </w:tabs>
        <w:ind w:left="340" w:hanging="340"/>
      </w:pPr>
      <w:rPr>
        <w:rFonts w:ascii="Wingdings" w:hAnsi="Wingdings"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39167452"/>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56100658"/>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DC067300"/>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F73ECEE0"/>
    <w:lvl w:ilvl="0">
      <w:start w:val="1"/>
      <w:numFmt w:val="decimal"/>
      <w:pStyle w:val="ListNumber"/>
      <w:lvlText w:val="%1)"/>
      <w:lvlJc w:val="left"/>
      <w:pPr>
        <w:tabs>
          <w:tab w:val="num" w:pos="360"/>
        </w:tabs>
        <w:ind w:left="340" w:hanging="340"/>
      </w:pPr>
      <w:rPr>
        <w:rFonts w:ascii="Palatino Linotype" w:hAnsi="Palatino Linotype"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4"/>
  </w:num>
  <w:num w:numId="4">
    <w:abstractNumId w:val="3"/>
  </w:num>
  <w:num w:numId="5">
    <w:abstractNumId w:val="2"/>
  </w:num>
  <w:num w:numId="6">
    <w:abstractNumId w:val="1"/>
  </w:num>
  <w:num w:numId="7">
    <w:abstractNumId w:val="0"/>
  </w:num>
  <w:num w:numId="8">
    <w:abstractNumId w:val="14"/>
  </w:num>
  <w:num w:numId="9">
    <w:abstractNumId w:val="11"/>
  </w:num>
  <w:num w:numId="10">
    <w:abstractNumId w:val="15"/>
  </w:num>
  <w:num w:numId="11">
    <w:abstractNumId w:val="13"/>
  </w:num>
  <w:num w:numId="12">
    <w:abstractNumId w:val="9"/>
  </w:num>
  <w:num w:numId="13">
    <w:abstractNumId w:val="12"/>
  </w:num>
  <w:num w:numId="14">
    <w:abstractNumId w:val="10"/>
  </w:num>
  <w:num w:numId="15">
    <w:abstractNumId w:val="5"/>
  </w:num>
  <w:num w:numId="16">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32"/>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unhideWhenUsed="0"/>
    <w:lsdException w:name="footer" w:uiPriority="0" w:unhideWhenUsed="0"/>
    <w:lsdException w:name="index heading" w:uiPriority="0"/>
    <w:lsdException w:name="caption" w:uiPriority="0" w:qFormat="1"/>
    <w:lsdException w:name="table of figures" w:uiPriority="0"/>
    <w:lsdException w:name="page number" w:uiPriority="0"/>
    <w:lsdException w:name="List" w:uiPriority="0" w:unhideWhenUsed="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unhideWhenUsed="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936B80"/>
    <w:pPr>
      <w:keepNext/>
      <w:keepLines/>
      <w:spacing w:after="0" w:line="240" w:lineRule="auto"/>
    </w:pPr>
    <w:rPr>
      <w:rFonts w:ascii="Courier New" w:eastAsia="Times New Roman" w:hAnsi="Courier New" w:cs="Times New Roman"/>
      <w:szCs w:val="20"/>
      <w:lang w:val="en-US" w:eastAsia="en-US"/>
    </w:rPr>
  </w:style>
  <w:style w:type="paragraph" w:styleId="Heading1">
    <w:name w:val="heading 1"/>
    <w:basedOn w:val="HeadingBase"/>
    <w:next w:val="Heading2"/>
    <w:link w:val="Heading1Char"/>
    <w:qFormat/>
    <w:rsid w:val="00936B80"/>
    <w:pPr>
      <w:spacing w:before="360" w:after="60"/>
      <w:outlineLvl w:val="0"/>
    </w:pPr>
    <w:rPr>
      <w:sz w:val="32"/>
    </w:rPr>
  </w:style>
  <w:style w:type="paragraph" w:styleId="Heading2">
    <w:name w:val="heading 2"/>
    <w:basedOn w:val="HeadingBase"/>
    <w:next w:val="BodyText"/>
    <w:link w:val="Heading2Char"/>
    <w:qFormat/>
    <w:rsid w:val="00936B80"/>
    <w:pPr>
      <w:keepLines/>
      <w:spacing w:before="240" w:after="120"/>
      <w:outlineLvl w:val="1"/>
    </w:pPr>
    <w:rPr>
      <w:sz w:val="28"/>
      <w:szCs w:val="40"/>
    </w:rPr>
  </w:style>
  <w:style w:type="paragraph" w:styleId="Heading3">
    <w:name w:val="heading 3"/>
    <w:basedOn w:val="HeadingBase"/>
    <w:next w:val="BodyText"/>
    <w:link w:val="Heading3Char"/>
    <w:qFormat/>
    <w:rsid w:val="00936B80"/>
    <w:pPr>
      <w:spacing w:before="180" w:after="120"/>
      <w:outlineLvl w:val="2"/>
    </w:pPr>
    <w:rPr>
      <w:spacing w:val="-10"/>
      <w:kern w:val="32"/>
    </w:rPr>
  </w:style>
  <w:style w:type="paragraph" w:styleId="Heading4">
    <w:name w:val="heading 4"/>
    <w:basedOn w:val="HeadingBase"/>
    <w:next w:val="BodyText"/>
    <w:link w:val="Heading4Char"/>
    <w:qFormat/>
    <w:rsid w:val="00936B80"/>
    <w:pPr>
      <w:spacing w:before="160" w:after="120"/>
      <w:outlineLvl w:val="3"/>
    </w:pPr>
    <w:rPr>
      <w:sz w:val="22"/>
    </w:rPr>
  </w:style>
  <w:style w:type="paragraph" w:styleId="Heading5">
    <w:name w:val="heading 5"/>
    <w:basedOn w:val="HeadingBase"/>
    <w:next w:val="Normal"/>
    <w:link w:val="Heading5Char"/>
    <w:qFormat/>
    <w:rsid w:val="00936B80"/>
    <w:pPr>
      <w:spacing w:before="80"/>
      <w:outlineLvl w:val="4"/>
    </w:pPr>
    <w:rPr>
      <w:color w:val="918585"/>
      <w:sz w:val="20"/>
    </w:rPr>
  </w:style>
  <w:style w:type="paragraph" w:styleId="Heading6">
    <w:name w:val="heading 6"/>
    <w:basedOn w:val="HeadingBase"/>
    <w:next w:val="Normal"/>
    <w:link w:val="Heading6Char"/>
    <w:qFormat/>
    <w:rsid w:val="00936B80"/>
    <w:pPr>
      <w:spacing w:before="60"/>
      <w:outlineLvl w:val="5"/>
    </w:pPr>
    <w:rPr>
      <w:color w:val="918585"/>
      <w:sz w:val="20"/>
    </w:rPr>
  </w:style>
  <w:style w:type="paragraph" w:styleId="Heading7">
    <w:name w:val="heading 7"/>
    <w:basedOn w:val="Normal"/>
    <w:next w:val="Normal"/>
    <w:link w:val="Heading7Char"/>
    <w:qFormat/>
    <w:rsid w:val="00936B80"/>
    <w:pPr>
      <w:ind w:left="720"/>
      <w:outlineLvl w:val="6"/>
    </w:pPr>
    <w:rPr>
      <w:i/>
    </w:rPr>
  </w:style>
  <w:style w:type="paragraph" w:styleId="Heading8">
    <w:name w:val="heading 8"/>
    <w:basedOn w:val="Normal"/>
    <w:next w:val="Normal"/>
    <w:link w:val="Heading8Char"/>
    <w:qFormat/>
    <w:rsid w:val="00936B80"/>
    <w:pPr>
      <w:ind w:left="720"/>
      <w:outlineLvl w:val="7"/>
    </w:pPr>
    <w:rPr>
      <w:i/>
    </w:rPr>
  </w:style>
  <w:style w:type="paragraph" w:styleId="Heading9">
    <w:name w:val="heading 9"/>
    <w:basedOn w:val="Normal"/>
    <w:next w:val="Normal"/>
    <w:link w:val="Heading9Char"/>
    <w:qFormat/>
    <w:rsid w:val="00936B80"/>
    <w:pPr>
      <w:ind w:left="720"/>
      <w:outlineLvl w:val="8"/>
    </w:pPr>
    <w:rPr>
      <w:i/>
    </w:rPr>
  </w:style>
  <w:style w:type="character" w:default="1" w:styleId="DefaultParagraphFont">
    <w:name w:val="Default Paragraph Font"/>
    <w:uiPriority w:val="1"/>
    <w:unhideWhenUsed/>
    <w:rsid w:val="00936B80"/>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936B80"/>
  </w:style>
  <w:style w:type="character" w:customStyle="1" w:styleId="Heading1Char">
    <w:name w:val="Heading 1 Char"/>
    <w:basedOn w:val="DefaultParagraphFont"/>
    <w:link w:val="Heading1"/>
    <w:rsid w:val="00936B80"/>
    <w:rPr>
      <w:rFonts w:ascii="Times New Roman" w:eastAsia="Times New Roman" w:hAnsi="Times New Roman" w:cs="Times New Roman"/>
      <w:b/>
      <w:sz w:val="32"/>
      <w:szCs w:val="20"/>
      <w:lang w:eastAsia="en-US"/>
    </w:rPr>
  </w:style>
  <w:style w:type="paragraph" w:styleId="BodyText">
    <w:name w:val="Body Text"/>
    <w:basedOn w:val="Normal"/>
    <w:link w:val="BodyTextChar"/>
    <w:rsid w:val="00936B80"/>
    <w:pPr>
      <w:spacing w:before="120" w:after="120"/>
      <w:contextualSpacing/>
    </w:pPr>
    <w:rPr>
      <w:rFonts w:ascii="Times New Roman" w:hAnsi="Times New Roman"/>
      <w:sz w:val="24"/>
      <w:szCs w:val="22"/>
    </w:rPr>
  </w:style>
  <w:style w:type="character" w:customStyle="1" w:styleId="BodyTextChar">
    <w:name w:val="Body Text Char"/>
    <w:basedOn w:val="DefaultParagraphFont"/>
    <w:link w:val="BodyText"/>
    <w:rsid w:val="00936B80"/>
    <w:rPr>
      <w:rFonts w:ascii="Times New Roman" w:eastAsia="Times New Roman" w:hAnsi="Times New Roman" w:cs="Times New Roman"/>
      <w:sz w:val="24"/>
      <w:lang w:val="en-US" w:eastAsia="en-US"/>
    </w:rPr>
  </w:style>
  <w:style w:type="paragraph" w:styleId="Footer">
    <w:name w:val="footer"/>
    <w:basedOn w:val="Normal"/>
    <w:link w:val="FooterChar"/>
    <w:rsid w:val="00936B80"/>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936B80"/>
    <w:rPr>
      <w:rFonts w:ascii="Times New Roman" w:eastAsia="Times New Roman" w:hAnsi="Times New Roman" w:cs="Times New Roman"/>
      <w:sz w:val="16"/>
      <w:lang w:val="en-US" w:eastAsia="en-US"/>
    </w:rPr>
  </w:style>
  <w:style w:type="paragraph" w:styleId="List">
    <w:name w:val="List"/>
    <w:basedOn w:val="BodyText"/>
    <w:next w:val="BodyText"/>
    <w:rsid w:val="00936B80"/>
    <w:pPr>
      <w:tabs>
        <w:tab w:val="left" w:pos="340"/>
      </w:tabs>
      <w:spacing w:before="60" w:after="60"/>
      <w:ind w:left="340" w:hanging="340"/>
    </w:pPr>
  </w:style>
  <w:style w:type="paragraph" w:styleId="ListBullet">
    <w:name w:val="List Bullet"/>
    <w:basedOn w:val="List"/>
    <w:rsid w:val="00936B80"/>
    <w:pPr>
      <w:numPr>
        <w:numId w:val="13"/>
      </w:numPr>
      <w:tabs>
        <w:tab w:val="clear" w:pos="340"/>
      </w:tabs>
      <w:spacing w:before="40" w:after="40"/>
    </w:pPr>
  </w:style>
  <w:style w:type="character" w:customStyle="1" w:styleId="SpecialBold">
    <w:name w:val="Special Bold"/>
    <w:basedOn w:val="DefaultParagraphFont"/>
    <w:rsid w:val="00936B80"/>
    <w:rPr>
      <w:b/>
      <w:spacing w:val="0"/>
    </w:rPr>
  </w:style>
  <w:style w:type="paragraph" w:styleId="ListBullet2">
    <w:name w:val="List Bullet 2"/>
    <w:basedOn w:val="List2"/>
    <w:rsid w:val="00936B80"/>
    <w:pPr>
      <w:numPr>
        <w:numId w:val="14"/>
      </w:numPr>
      <w:tabs>
        <w:tab w:val="clear" w:pos="680"/>
      </w:tabs>
    </w:pPr>
  </w:style>
  <w:style w:type="paragraph" w:styleId="Header">
    <w:name w:val="header"/>
    <w:basedOn w:val="Normal"/>
    <w:link w:val="HeaderChar"/>
    <w:rsid w:val="00936B80"/>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936B80"/>
    <w:rPr>
      <w:rFonts w:ascii="Times New Roman" w:eastAsia="Times New Roman" w:hAnsi="Times New Roman" w:cs="Times New Roman"/>
      <w:sz w:val="16"/>
      <w:szCs w:val="20"/>
      <w:lang w:val="en-GB" w:eastAsia="en-US"/>
    </w:rPr>
  </w:style>
  <w:style w:type="character" w:styleId="Emphasis">
    <w:name w:val="Emphasis"/>
    <w:basedOn w:val="DefaultParagraphFont"/>
    <w:qFormat/>
    <w:rsid w:val="00936B80"/>
    <w:rPr>
      <w:i/>
    </w:rPr>
  </w:style>
  <w:style w:type="paragraph" w:customStyle="1" w:styleId="SuperHeading">
    <w:name w:val="SuperHeading"/>
    <w:basedOn w:val="Normal"/>
    <w:rsid w:val="00936B80"/>
    <w:pPr>
      <w:spacing w:before="240" w:after="120"/>
      <w:outlineLvl w:val="0"/>
    </w:pPr>
    <w:rPr>
      <w:rFonts w:ascii="Times New Roman" w:hAnsi="Times New Roman"/>
      <w:b/>
      <w:sz w:val="28"/>
    </w:rPr>
  </w:style>
  <w:style w:type="paragraph" w:customStyle="1" w:styleId="TableHeading">
    <w:name w:val="Table Heading"/>
    <w:basedOn w:val="HeadingBase"/>
    <w:rsid w:val="00936B80"/>
    <w:pPr>
      <w:keepLines/>
      <w:pBdr>
        <w:bottom w:val="single" w:sz="6" w:space="1" w:color="918585"/>
      </w:pBdr>
      <w:spacing w:before="240"/>
    </w:pPr>
  </w:style>
  <w:style w:type="paragraph" w:customStyle="1" w:styleId="AllowPageBreak">
    <w:name w:val="AllowPageBreak"/>
    <w:rsid w:val="00936B80"/>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Heading2Char">
    <w:name w:val="Heading 2 Char"/>
    <w:basedOn w:val="DefaultParagraphFont"/>
    <w:link w:val="Heading2"/>
    <w:rsid w:val="00936B80"/>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936B80"/>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936B80"/>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936B80"/>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936B80"/>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936B80"/>
    <w:rPr>
      <w:rFonts w:ascii="Courier New" w:eastAsia="Times New Roman" w:hAnsi="Courier New" w:cs="Times New Roman"/>
      <w:i/>
      <w:szCs w:val="20"/>
      <w:lang w:val="en-US" w:eastAsia="en-US"/>
    </w:rPr>
  </w:style>
  <w:style w:type="character" w:customStyle="1" w:styleId="Heading8Char">
    <w:name w:val="Heading 8 Char"/>
    <w:basedOn w:val="DefaultParagraphFont"/>
    <w:link w:val="Heading8"/>
    <w:rsid w:val="00936B80"/>
    <w:rPr>
      <w:rFonts w:ascii="Courier New" w:eastAsia="Times New Roman" w:hAnsi="Courier New" w:cs="Times New Roman"/>
      <w:i/>
      <w:szCs w:val="20"/>
      <w:lang w:val="en-US" w:eastAsia="en-US"/>
    </w:rPr>
  </w:style>
  <w:style w:type="character" w:customStyle="1" w:styleId="Heading9Char">
    <w:name w:val="Heading 9 Char"/>
    <w:basedOn w:val="DefaultParagraphFont"/>
    <w:link w:val="Heading9"/>
    <w:rsid w:val="00936B80"/>
    <w:rPr>
      <w:rFonts w:ascii="Courier New" w:eastAsia="Times New Roman" w:hAnsi="Courier New" w:cs="Times New Roman"/>
      <w:i/>
      <w:szCs w:val="20"/>
      <w:lang w:val="en-US" w:eastAsia="en-US"/>
    </w:rPr>
  </w:style>
  <w:style w:type="paragraph" w:customStyle="1" w:styleId="HeadingBase">
    <w:name w:val="Heading Base"/>
    <w:rsid w:val="00936B80"/>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936B80"/>
    <w:pPr>
      <w:tabs>
        <w:tab w:val="right" w:leader="dot" w:pos="9072"/>
      </w:tabs>
      <w:ind w:left="567"/>
    </w:pPr>
    <w:rPr>
      <w:szCs w:val="22"/>
    </w:rPr>
  </w:style>
  <w:style w:type="paragraph" w:customStyle="1" w:styleId="TOCBase">
    <w:name w:val="TOC Base"/>
    <w:rsid w:val="00936B80"/>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936B80"/>
    <w:pPr>
      <w:tabs>
        <w:tab w:val="right" w:leader="dot" w:pos="9072"/>
      </w:tabs>
      <w:spacing w:before="40" w:after="40"/>
      <w:ind w:left="284"/>
    </w:pPr>
    <w:rPr>
      <w:rFonts w:ascii="Times New Roman" w:hAnsi="Times New Roman"/>
    </w:rPr>
  </w:style>
  <w:style w:type="paragraph" w:styleId="TOC1">
    <w:name w:val="toc 1"/>
    <w:basedOn w:val="TOCBase"/>
    <w:next w:val="Normal"/>
    <w:rsid w:val="00936B80"/>
    <w:pPr>
      <w:keepNext/>
      <w:tabs>
        <w:tab w:val="right" w:leader="dot" w:pos="9072"/>
      </w:tabs>
      <w:spacing w:before="120" w:after="60"/>
    </w:pPr>
    <w:rPr>
      <w:rFonts w:ascii="Times New Roman" w:hAnsi="Times New Roman"/>
      <w:b/>
      <w:szCs w:val="24"/>
    </w:rPr>
  </w:style>
  <w:style w:type="paragraph" w:styleId="Title">
    <w:name w:val="Title"/>
    <w:basedOn w:val="HeadingBase"/>
    <w:link w:val="TitleChar"/>
    <w:qFormat/>
    <w:rsid w:val="00936B80"/>
    <w:pPr>
      <w:spacing w:before="5040"/>
      <w:jc w:val="center"/>
    </w:pPr>
    <w:rPr>
      <w:sz w:val="48"/>
      <w:szCs w:val="72"/>
      <w:lang w:val="en-US"/>
    </w:rPr>
  </w:style>
  <w:style w:type="character" w:customStyle="1" w:styleId="TitleChar">
    <w:name w:val="Title Char"/>
    <w:basedOn w:val="DefaultParagraphFont"/>
    <w:link w:val="Title"/>
    <w:rsid w:val="00936B80"/>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936B80"/>
    <w:pPr>
      <w:tabs>
        <w:tab w:val="left" w:pos="3600"/>
        <w:tab w:val="left" w:pos="3958"/>
      </w:tabs>
    </w:pPr>
  </w:style>
  <w:style w:type="paragraph" w:customStyle="1" w:styleId="Note">
    <w:name w:val="Note"/>
    <w:basedOn w:val="BodyText"/>
    <w:rsid w:val="00936B80"/>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936B80"/>
    <w:pPr>
      <w:framePr w:wrap="auto" w:hAnchor="text" w:y="6049"/>
    </w:pPr>
    <w:rPr>
      <w:color w:val="000000"/>
      <w:sz w:val="40"/>
    </w:rPr>
  </w:style>
  <w:style w:type="paragraph" w:customStyle="1" w:styleId="TOCTitle">
    <w:name w:val="TOCTitle"/>
    <w:basedOn w:val="Heading1"/>
    <w:rsid w:val="00936B80"/>
    <w:pPr>
      <w:spacing w:after="240"/>
      <w:jc w:val="center"/>
      <w:outlineLvl w:val="9"/>
    </w:pPr>
    <w:rPr>
      <w:caps/>
    </w:rPr>
  </w:style>
  <w:style w:type="paragraph" w:customStyle="1" w:styleId="Version">
    <w:name w:val="Version"/>
    <w:rsid w:val="00936B80"/>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936B80"/>
    <w:pPr>
      <w:keepNext w:val="0"/>
      <w:tabs>
        <w:tab w:val="right" w:pos="4176"/>
      </w:tabs>
      <w:ind w:left="198" w:hanging="198"/>
    </w:pPr>
    <w:rPr>
      <w:rFonts w:ascii="Garamond" w:hAnsi="Garamond"/>
    </w:rPr>
  </w:style>
  <w:style w:type="paragraph" w:styleId="IndexHeading">
    <w:name w:val="index heading"/>
    <w:basedOn w:val="Normal"/>
    <w:next w:val="Index1"/>
    <w:semiHidden/>
    <w:rsid w:val="00936B80"/>
    <w:pPr>
      <w:spacing w:before="120" w:after="120"/>
    </w:pPr>
    <w:rPr>
      <w:rFonts w:ascii="Arial" w:hAnsi="Arial"/>
      <w:b/>
      <w:color w:val="918585"/>
      <w:sz w:val="24"/>
    </w:rPr>
  </w:style>
  <w:style w:type="paragraph" w:customStyle="1" w:styleId="Chapter">
    <w:name w:val="Chapter"/>
    <w:basedOn w:val="Normal"/>
    <w:rsid w:val="00936B80"/>
    <w:pPr>
      <w:spacing w:before="240"/>
    </w:pPr>
    <w:rPr>
      <w:rFonts w:ascii="Times New Roman" w:hAnsi="Times New Roman"/>
      <w:smallCaps/>
      <w:spacing w:val="80"/>
      <w:sz w:val="28"/>
    </w:rPr>
  </w:style>
  <w:style w:type="paragraph" w:customStyle="1" w:styleId="InChapter">
    <w:name w:val="InChapter"/>
    <w:basedOn w:val="Heading3"/>
    <w:rsid w:val="00936B80"/>
    <w:pPr>
      <w:spacing w:after="240"/>
      <w:outlineLvl w:val="9"/>
    </w:pPr>
    <w:rPr>
      <w:noProof/>
    </w:rPr>
  </w:style>
  <w:style w:type="paragraph" w:styleId="Index2">
    <w:name w:val="index 2"/>
    <w:basedOn w:val="Normal"/>
    <w:next w:val="Normal"/>
    <w:semiHidden/>
    <w:rsid w:val="00936B80"/>
    <w:pPr>
      <w:tabs>
        <w:tab w:val="right" w:pos="4176"/>
      </w:tabs>
      <w:ind w:left="568" w:hanging="284"/>
    </w:pPr>
    <w:rPr>
      <w:rFonts w:ascii="Garamond" w:hAnsi="Garamond"/>
    </w:rPr>
  </w:style>
  <w:style w:type="paragraph" w:customStyle="1" w:styleId="Byline">
    <w:name w:val="Byline"/>
    <w:rsid w:val="00936B80"/>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936B80"/>
    <w:pPr>
      <w:tabs>
        <w:tab w:val="clear" w:pos="3600"/>
        <w:tab w:val="clear" w:pos="3958"/>
      </w:tabs>
      <w:jc w:val="right"/>
    </w:pPr>
  </w:style>
  <w:style w:type="paragraph" w:styleId="Caption">
    <w:name w:val="caption"/>
    <w:basedOn w:val="BodyText"/>
    <w:next w:val="Normal"/>
    <w:qFormat/>
    <w:rsid w:val="00936B80"/>
    <w:pPr>
      <w:framePr w:w="2268" w:hSpace="181" w:vSpace="181" w:wrap="around" w:vAnchor="text" w:hAnchor="page" w:x="1135" w:y="285" w:anchorLock="1"/>
    </w:pPr>
    <w:rPr>
      <w:i/>
    </w:rPr>
  </w:style>
  <w:style w:type="paragraph" w:customStyle="1" w:styleId="MiniTOCTitle">
    <w:name w:val="MiniTOCTitle"/>
    <w:basedOn w:val="Heading4"/>
    <w:rsid w:val="00936B80"/>
    <w:pPr>
      <w:spacing w:before="240"/>
      <w:outlineLvl w:val="9"/>
    </w:pPr>
    <w:rPr>
      <w:noProof/>
      <w:sz w:val="24"/>
    </w:rPr>
  </w:style>
  <w:style w:type="paragraph" w:customStyle="1" w:styleId="MiniTOCItem">
    <w:name w:val="MiniTOCItem"/>
    <w:basedOn w:val="ListBullet"/>
    <w:rsid w:val="00936B80"/>
    <w:pPr>
      <w:numPr>
        <w:numId w:val="0"/>
      </w:numPr>
      <w:tabs>
        <w:tab w:val="right" w:leader="dot" w:pos="6521"/>
      </w:tabs>
      <w:spacing w:before="0" w:after="0"/>
    </w:pPr>
  </w:style>
  <w:style w:type="paragraph" w:customStyle="1" w:styleId="TOFTitle">
    <w:name w:val="TOFTitle"/>
    <w:basedOn w:val="TOCTitle"/>
    <w:rsid w:val="00936B80"/>
  </w:style>
  <w:style w:type="paragraph" w:styleId="TableofFigures">
    <w:name w:val="table of figures"/>
    <w:basedOn w:val="Normal"/>
    <w:next w:val="Normal"/>
    <w:semiHidden/>
    <w:rsid w:val="00936B80"/>
    <w:pPr>
      <w:tabs>
        <w:tab w:val="right" w:leader="dot" w:pos="9072"/>
      </w:tabs>
      <w:ind w:left="970" w:hanging="403"/>
    </w:pPr>
    <w:rPr>
      <w:rFonts w:ascii="Times New Roman" w:hAnsi="Times New Roman"/>
      <w:b/>
    </w:rPr>
  </w:style>
  <w:style w:type="paragraph" w:styleId="ListNumber">
    <w:name w:val="List Number"/>
    <w:basedOn w:val="List"/>
    <w:rsid w:val="00936B80"/>
    <w:pPr>
      <w:numPr>
        <w:numId w:val="11"/>
      </w:numPr>
    </w:pPr>
  </w:style>
  <w:style w:type="character" w:customStyle="1" w:styleId="WingdingSymbols">
    <w:name w:val="Wingding Symbols"/>
    <w:rsid w:val="00936B80"/>
    <w:rPr>
      <w:rFonts w:ascii="Wingdings" w:hAnsi="Wingdings"/>
    </w:rPr>
  </w:style>
  <w:style w:type="character" w:customStyle="1" w:styleId="HotSpot">
    <w:name w:val="HotSpot"/>
    <w:rsid w:val="00936B80"/>
    <w:rPr>
      <w:color w:val="0033CC"/>
      <w:u w:val="none"/>
    </w:rPr>
  </w:style>
  <w:style w:type="paragraph" w:customStyle="1" w:styleId="BodyTextRight">
    <w:name w:val="Body Text Right"/>
    <w:basedOn w:val="BodyText"/>
    <w:rsid w:val="00936B80"/>
    <w:pPr>
      <w:spacing w:before="0" w:after="0"/>
      <w:jc w:val="right"/>
    </w:pPr>
  </w:style>
  <w:style w:type="paragraph" w:styleId="Index3">
    <w:name w:val="index 3"/>
    <w:basedOn w:val="ListNumber2"/>
    <w:next w:val="Normal"/>
    <w:semiHidden/>
    <w:rsid w:val="00936B80"/>
    <w:pPr>
      <w:numPr>
        <w:numId w:val="0"/>
      </w:numPr>
      <w:tabs>
        <w:tab w:val="right" w:leader="dot" w:pos="4176"/>
      </w:tabs>
    </w:pPr>
  </w:style>
  <w:style w:type="paragraph" w:styleId="ListNumber2">
    <w:name w:val="List Number 2"/>
    <w:basedOn w:val="List2"/>
    <w:rsid w:val="00936B80"/>
    <w:pPr>
      <w:numPr>
        <w:numId w:val="10"/>
      </w:numPr>
      <w:tabs>
        <w:tab w:val="clear" w:pos="1060"/>
      </w:tabs>
    </w:pPr>
  </w:style>
  <w:style w:type="paragraph" w:customStyle="1" w:styleId="MarginNote">
    <w:name w:val="Margin Note"/>
    <w:basedOn w:val="BodyText"/>
    <w:rsid w:val="00936B80"/>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936B80"/>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936B80"/>
    <w:rPr>
      <w:rFonts w:ascii="Times New Roman" w:eastAsia="Times New Roman" w:hAnsi="Times New Roman" w:cs="Times New Roman"/>
      <w:b/>
      <w:sz w:val="20"/>
      <w:szCs w:val="20"/>
      <w:lang w:val="en-US" w:eastAsia="en-US"/>
    </w:rPr>
  </w:style>
  <w:style w:type="paragraph" w:customStyle="1" w:styleId="GlossaryHeading">
    <w:name w:val="Glossary Heading"/>
    <w:basedOn w:val="HeadingBase"/>
    <w:rsid w:val="00936B80"/>
    <w:rPr>
      <w:sz w:val="32"/>
    </w:rPr>
  </w:style>
  <w:style w:type="paragraph" w:customStyle="1" w:styleId="HeadingProcedure">
    <w:name w:val="Heading Procedure"/>
    <w:basedOn w:val="HeadingBase"/>
    <w:next w:val="Normal"/>
    <w:rsid w:val="00936B80"/>
    <w:pPr>
      <w:tabs>
        <w:tab w:val="left" w:pos="0"/>
      </w:tabs>
      <w:spacing w:before="120" w:after="60"/>
    </w:pPr>
    <w:rPr>
      <w:i/>
      <w:color w:val="918585"/>
      <w:sz w:val="22"/>
    </w:rPr>
  </w:style>
  <w:style w:type="paragraph" w:customStyle="1" w:styleId="TableBodyText">
    <w:name w:val="Table Body Text"/>
    <w:basedOn w:val="BodyText"/>
    <w:rsid w:val="00936B80"/>
    <w:pPr>
      <w:spacing w:before="60" w:after="60"/>
    </w:pPr>
  </w:style>
  <w:style w:type="paragraph" w:styleId="ListContinue">
    <w:name w:val="List Continue"/>
    <w:basedOn w:val="List"/>
    <w:rsid w:val="00936B80"/>
    <w:pPr>
      <w:ind w:firstLine="0"/>
    </w:pPr>
  </w:style>
  <w:style w:type="paragraph" w:customStyle="1" w:styleId="ListNote">
    <w:name w:val="List Note"/>
    <w:basedOn w:val="List"/>
    <w:rsid w:val="00936B80"/>
    <w:pPr>
      <w:pBdr>
        <w:top w:val="single" w:sz="6" w:space="2" w:color="918585"/>
        <w:bottom w:val="single" w:sz="6" w:space="2" w:color="918585"/>
      </w:pBdr>
      <w:tabs>
        <w:tab w:val="left" w:pos="1021"/>
      </w:tabs>
      <w:ind w:firstLine="0"/>
    </w:pPr>
  </w:style>
  <w:style w:type="paragraph" w:customStyle="1" w:styleId="Warning">
    <w:name w:val="Warning"/>
    <w:basedOn w:val="BodyText"/>
    <w:rsid w:val="00936B80"/>
    <w:pPr>
      <w:shd w:val="clear" w:color="auto" w:fill="D9D9D9"/>
      <w:tabs>
        <w:tab w:val="left" w:pos="992"/>
      </w:tabs>
      <w:ind w:left="119" w:right="119"/>
    </w:pPr>
    <w:rPr>
      <w:sz w:val="20"/>
    </w:rPr>
  </w:style>
  <w:style w:type="paragraph" w:customStyle="1" w:styleId="MarginIcons">
    <w:name w:val="Margin Icons"/>
    <w:basedOn w:val="BodyText"/>
    <w:rsid w:val="00936B80"/>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936B80"/>
    <w:rPr>
      <w:rFonts w:ascii="Courier New" w:hAnsi="Courier New"/>
    </w:rPr>
  </w:style>
  <w:style w:type="paragraph" w:customStyle="1" w:styleId="NoteBullet">
    <w:name w:val="Note Bullet"/>
    <w:basedOn w:val="Note"/>
    <w:rsid w:val="00936B80"/>
    <w:pPr>
      <w:tabs>
        <w:tab w:val="clear" w:pos="680"/>
      </w:tabs>
      <w:spacing w:before="60" w:after="60"/>
    </w:pPr>
  </w:style>
  <w:style w:type="paragraph" w:customStyle="1" w:styleId="SubHeading2">
    <w:name w:val="SubHeading2"/>
    <w:basedOn w:val="HeadingBase"/>
    <w:rsid w:val="00936B80"/>
    <w:pPr>
      <w:spacing w:before="240" w:after="60"/>
    </w:pPr>
    <w:rPr>
      <w:sz w:val="20"/>
    </w:rPr>
  </w:style>
  <w:style w:type="paragraph" w:customStyle="1" w:styleId="SubHeading1">
    <w:name w:val="SubHeading1"/>
    <w:basedOn w:val="HeadingBase"/>
    <w:rsid w:val="00936B80"/>
    <w:pPr>
      <w:spacing w:before="240" w:after="60"/>
    </w:pPr>
    <w:rPr>
      <w:color w:val="918585"/>
      <w:sz w:val="22"/>
    </w:rPr>
  </w:style>
  <w:style w:type="paragraph" w:customStyle="1" w:styleId="SideHeading">
    <w:name w:val="Side Heading"/>
    <w:basedOn w:val="HeadingBase"/>
    <w:rsid w:val="00936B80"/>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936B80"/>
    <w:pPr>
      <w:numPr>
        <w:numId w:val="12"/>
      </w:numPr>
    </w:pPr>
  </w:style>
  <w:style w:type="paragraph" w:styleId="PlainText">
    <w:name w:val="Plain Text"/>
    <w:basedOn w:val="Normal"/>
    <w:link w:val="PlainTextChar"/>
    <w:rsid w:val="00936B80"/>
    <w:rPr>
      <w:sz w:val="20"/>
    </w:rPr>
  </w:style>
  <w:style w:type="character" w:customStyle="1" w:styleId="PlainTextChar">
    <w:name w:val="Plain Text Char"/>
    <w:basedOn w:val="DefaultParagraphFont"/>
    <w:link w:val="PlainText"/>
    <w:rsid w:val="00936B80"/>
    <w:rPr>
      <w:rFonts w:ascii="Courier New" w:eastAsia="Times New Roman" w:hAnsi="Courier New" w:cs="Times New Roman"/>
      <w:sz w:val="20"/>
      <w:szCs w:val="20"/>
      <w:lang w:val="en-US" w:eastAsia="en-US"/>
    </w:rPr>
  </w:style>
  <w:style w:type="character" w:customStyle="1" w:styleId="MenuOption">
    <w:name w:val="Menu Option"/>
    <w:basedOn w:val="DefaultParagraphFont"/>
    <w:rsid w:val="00936B80"/>
    <w:rPr>
      <w:b/>
      <w:smallCaps/>
    </w:rPr>
  </w:style>
  <w:style w:type="paragraph" w:customStyle="1" w:styleId="TableListNumber">
    <w:name w:val="Table List Number"/>
    <w:basedOn w:val="ListNumber"/>
    <w:rsid w:val="00936B80"/>
    <w:pPr>
      <w:numPr>
        <w:numId w:val="0"/>
      </w:numPr>
    </w:pPr>
  </w:style>
  <w:style w:type="paragraph" w:styleId="TOC4">
    <w:name w:val="toc 4"/>
    <w:basedOn w:val="TOCBase"/>
    <w:next w:val="Normal"/>
    <w:semiHidden/>
    <w:rsid w:val="00936B80"/>
    <w:pPr>
      <w:tabs>
        <w:tab w:val="right" w:leader="dot" w:pos="9071"/>
      </w:tabs>
      <w:ind w:left="1701"/>
    </w:pPr>
  </w:style>
  <w:style w:type="paragraph" w:customStyle="1" w:styleId="ListAlpha">
    <w:name w:val="List Alpha"/>
    <w:basedOn w:val="List"/>
    <w:rsid w:val="00936B80"/>
    <w:pPr>
      <w:numPr>
        <w:numId w:val="9"/>
      </w:numPr>
    </w:pPr>
  </w:style>
  <w:style w:type="paragraph" w:customStyle="1" w:styleId="ListAlpha2">
    <w:name w:val="List Alpha 2"/>
    <w:basedOn w:val="List2"/>
    <w:rsid w:val="00936B80"/>
    <w:pPr>
      <w:numPr>
        <w:numId w:val="8"/>
      </w:numPr>
    </w:pPr>
  </w:style>
  <w:style w:type="paragraph" w:styleId="List2">
    <w:name w:val="List 2"/>
    <w:basedOn w:val="BodyText"/>
    <w:rsid w:val="00936B80"/>
    <w:pPr>
      <w:tabs>
        <w:tab w:val="left" w:pos="680"/>
      </w:tabs>
      <w:spacing w:before="60" w:after="60"/>
      <w:ind w:left="680" w:hanging="340"/>
    </w:pPr>
  </w:style>
  <w:style w:type="paragraph" w:styleId="List3">
    <w:name w:val="List 3"/>
    <w:basedOn w:val="BodyText"/>
    <w:rsid w:val="00936B80"/>
    <w:pPr>
      <w:tabs>
        <w:tab w:val="left" w:pos="1021"/>
      </w:tabs>
      <w:spacing w:before="60" w:after="60"/>
      <w:ind w:left="1020" w:hanging="340"/>
    </w:pPr>
  </w:style>
  <w:style w:type="paragraph" w:styleId="List4">
    <w:name w:val="List 4"/>
    <w:basedOn w:val="BodyText"/>
    <w:rsid w:val="00936B80"/>
    <w:pPr>
      <w:tabs>
        <w:tab w:val="left" w:pos="1361"/>
      </w:tabs>
      <w:spacing w:before="60" w:after="60"/>
      <w:ind w:left="1361" w:hanging="340"/>
    </w:pPr>
  </w:style>
  <w:style w:type="paragraph" w:styleId="List5">
    <w:name w:val="List 5"/>
    <w:basedOn w:val="BodyText"/>
    <w:rsid w:val="00936B80"/>
    <w:pPr>
      <w:tabs>
        <w:tab w:val="left" w:pos="1701"/>
      </w:tabs>
      <w:spacing w:before="60" w:after="60"/>
      <w:ind w:left="1701" w:hanging="340"/>
    </w:pPr>
  </w:style>
  <w:style w:type="paragraph" w:styleId="ListBullet3">
    <w:name w:val="List Bullet 3"/>
    <w:basedOn w:val="List3"/>
    <w:rsid w:val="00936B80"/>
    <w:pPr>
      <w:numPr>
        <w:numId w:val="15"/>
      </w:numPr>
      <w:tabs>
        <w:tab w:val="clear" w:pos="1021"/>
      </w:tabs>
      <w:ind w:left="1037" w:hanging="357"/>
    </w:pPr>
  </w:style>
  <w:style w:type="paragraph" w:styleId="ListBullet4">
    <w:name w:val="List Bullet 4"/>
    <w:basedOn w:val="List4"/>
    <w:rsid w:val="00936B80"/>
    <w:pPr>
      <w:numPr>
        <w:numId w:val="3"/>
      </w:numPr>
    </w:pPr>
  </w:style>
  <w:style w:type="paragraph" w:styleId="ListBullet5">
    <w:name w:val="List Bullet 5"/>
    <w:basedOn w:val="List5"/>
    <w:rsid w:val="00936B80"/>
    <w:pPr>
      <w:numPr>
        <w:numId w:val="4"/>
      </w:numPr>
    </w:pPr>
  </w:style>
  <w:style w:type="paragraph" w:styleId="ListContinue2">
    <w:name w:val="List Continue 2"/>
    <w:basedOn w:val="List2"/>
    <w:rsid w:val="00936B80"/>
    <w:pPr>
      <w:ind w:firstLine="0"/>
    </w:pPr>
  </w:style>
  <w:style w:type="paragraph" w:styleId="ListContinue3">
    <w:name w:val="List Continue 3"/>
    <w:basedOn w:val="List3"/>
    <w:rsid w:val="00936B80"/>
    <w:pPr>
      <w:ind w:left="1021" w:firstLine="0"/>
    </w:pPr>
  </w:style>
  <w:style w:type="paragraph" w:styleId="ListContinue4">
    <w:name w:val="List Continue 4"/>
    <w:basedOn w:val="List4"/>
    <w:rsid w:val="00936B80"/>
    <w:pPr>
      <w:ind w:firstLine="0"/>
    </w:pPr>
  </w:style>
  <w:style w:type="paragraph" w:styleId="ListContinue5">
    <w:name w:val="List Continue 5"/>
    <w:basedOn w:val="List5"/>
    <w:rsid w:val="00936B80"/>
    <w:pPr>
      <w:ind w:firstLine="0"/>
    </w:pPr>
  </w:style>
  <w:style w:type="paragraph" w:styleId="ListNumber3">
    <w:name w:val="List Number 3"/>
    <w:basedOn w:val="List3"/>
    <w:rsid w:val="00936B80"/>
    <w:pPr>
      <w:numPr>
        <w:numId w:val="5"/>
      </w:numPr>
    </w:pPr>
  </w:style>
  <w:style w:type="paragraph" w:styleId="ListNumber4">
    <w:name w:val="List Number 4"/>
    <w:basedOn w:val="List4"/>
    <w:rsid w:val="00936B80"/>
    <w:pPr>
      <w:numPr>
        <w:numId w:val="6"/>
      </w:numPr>
    </w:pPr>
  </w:style>
  <w:style w:type="paragraph" w:styleId="ListNumber5">
    <w:name w:val="List Number 5"/>
    <w:basedOn w:val="List5"/>
    <w:rsid w:val="00936B80"/>
    <w:pPr>
      <w:numPr>
        <w:numId w:val="7"/>
      </w:numPr>
    </w:pPr>
  </w:style>
  <w:style w:type="paragraph" w:styleId="BlockText">
    <w:name w:val="Block Text"/>
    <w:basedOn w:val="Normal"/>
    <w:rsid w:val="00936B80"/>
    <w:pPr>
      <w:spacing w:after="120"/>
      <w:ind w:left="1440" w:right="1440"/>
    </w:pPr>
  </w:style>
  <w:style w:type="character" w:customStyle="1" w:styleId="Subscript">
    <w:name w:val="Subscript"/>
    <w:basedOn w:val="DefaultParagraphFont"/>
    <w:rsid w:val="00936B80"/>
    <w:rPr>
      <w:sz w:val="16"/>
      <w:vertAlign w:val="subscript"/>
    </w:rPr>
  </w:style>
  <w:style w:type="character" w:customStyle="1" w:styleId="Superscript">
    <w:name w:val="Superscript"/>
    <w:basedOn w:val="DefaultParagraphFont"/>
    <w:rsid w:val="00936B80"/>
    <w:rPr>
      <w:sz w:val="16"/>
      <w:vertAlign w:val="superscript"/>
    </w:rPr>
  </w:style>
  <w:style w:type="character" w:customStyle="1" w:styleId="Symbols">
    <w:name w:val="Symbols"/>
    <w:basedOn w:val="DefaultParagraphFont"/>
    <w:rsid w:val="00936B80"/>
    <w:rPr>
      <w:rFonts w:ascii="Symbol" w:hAnsi="Symbol"/>
    </w:rPr>
  </w:style>
  <w:style w:type="character" w:customStyle="1" w:styleId="MenuOptions">
    <w:name w:val="Menu Options"/>
    <w:basedOn w:val="DefaultParagraphFont"/>
    <w:rsid w:val="00936B80"/>
    <w:rPr>
      <w:rFonts w:ascii="Arial Narrow" w:hAnsi="Arial Narrow"/>
      <w:smallCaps/>
    </w:rPr>
  </w:style>
  <w:style w:type="character" w:customStyle="1" w:styleId="Buttons">
    <w:name w:val="Buttons"/>
    <w:basedOn w:val="DefaultParagraphFont"/>
    <w:rsid w:val="00936B80"/>
    <w:rPr>
      <w:b/>
    </w:rPr>
  </w:style>
  <w:style w:type="character" w:customStyle="1" w:styleId="Underlined">
    <w:name w:val="Underlined"/>
    <w:basedOn w:val="DefaultParagraphFont"/>
    <w:rsid w:val="00936B80"/>
    <w:rPr>
      <w:u w:val="single"/>
    </w:rPr>
  </w:style>
  <w:style w:type="paragraph" w:customStyle="1" w:styleId="TableBodyTextRight">
    <w:name w:val="Table Body Text Right"/>
    <w:basedOn w:val="TableBodyText"/>
    <w:rsid w:val="00936B80"/>
    <w:pPr>
      <w:widowControl w:val="0"/>
      <w:autoSpaceDE w:val="0"/>
      <w:autoSpaceDN w:val="0"/>
      <w:adjustRightInd w:val="0"/>
      <w:jc w:val="right"/>
    </w:pPr>
    <w:rPr>
      <w:rFonts w:cs="Arial"/>
      <w:szCs w:val="18"/>
    </w:rPr>
  </w:style>
  <w:style w:type="paragraph" w:customStyle="1" w:styleId="CopyrightText">
    <w:name w:val="Copyright Text"/>
    <w:basedOn w:val="BodyText"/>
    <w:rsid w:val="00936B80"/>
    <w:rPr>
      <w:sz w:val="18"/>
    </w:rPr>
  </w:style>
  <w:style w:type="paragraph" w:customStyle="1" w:styleId="BodySmallRight">
    <w:name w:val="Body Small Right"/>
    <w:basedOn w:val="BodyTextRight"/>
    <w:rsid w:val="00936B80"/>
    <w:rPr>
      <w:sz w:val="18"/>
      <w:szCs w:val="18"/>
    </w:rPr>
  </w:style>
  <w:style w:type="paragraph" w:customStyle="1" w:styleId="MarginEdition">
    <w:name w:val="Margin Edition"/>
    <w:basedOn w:val="MarginNote"/>
    <w:rsid w:val="00936B80"/>
    <w:pPr>
      <w:spacing w:before="0" w:after="0"/>
    </w:pPr>
    <w:rPr>
      <w:rFonts w:ascii="Times New Roman" w:hAnsi="Times New Roman"/>
      <w:color w:val="999999"/>
    </w:rPr>
  </w:style>
  <w:style w:type="paragraph" w:customStyle="1" w:styleId="Spacer">
    <w:name w:val="Spacer"/>
    <w:basedOn w:val="Normal"/>
    <w:rsid w:val="00936B80"/>
    <w:rPr>
      <w:sz w:val="2"/>
      <w:szCs w:val="2"/>
    </w:rPr>
  </w:style>
  <w:style w:type="character" w:customStyle="1" w:styleId="Small">
    <w:name w:val="Small"/>
    <w:basedOn w:val="DefaultParagraphFont"/>
    <w:rsid w:val="00936B80"/>
    <w:rPr>
      <w:sz w:val="16"/>
    </w:rPr>
  </w:style>
  <w:style w:type="paragraph" w:customStyle="1" w:styleId="WideTable">
    <w:name w:val="Wide Table"/>
    <w:basedOn w:val="Normal"/>
    <w:rsid w:val="00936B80"/>
    <w:pPr>
      <w:ind w:left="-1418"/>
    </w:pPr>
    <w:rPr>
      <w:sz w:val="2"/>
      <w:szCs w:val="2"/>
    </w:rPr>
  </w:style>
  <w:style w:type="character" w:styleId="PageNumber">
    <w:name w:val="page number"/>
    <w:basedOn w:val="DefaultParagraphFont"/>
    <w:rsid w:val="00936B80"/>
  </w:style>
  <w:style w:type="paragraph" w:styleId="Quote">
    <w:name w:val="Quote"/>
    <w:basedOn w:val="Heading1"/>
    <w:link w:val="QuoteChar"/>
    <w:qFormat/>
    <w:rsid w:val="00936B80"/>
    <w:rPr>
      <w:b w:val="0"/>
      <w:sz w:val="72"/>
      <w:szCs w:val="72"/>
      <w:lang w:val="en-NZ"/>
    </w:rPr>
  </w:style>
  <w:style w:type="character" w:customStyle="1" w:styleId="QuoteChar">
    <w:name w:val="Quote Char"/>
    <w:basedOn w:val="DefaultParagraphFont"/>
    <w:link w:val="Quote"/>
    <w:rsid w:val="00936B80"/>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936B80"/>
    <w:pPr>
      <w:pageBreakBefore/>
    </w:pPr>
  </w:style>
  <w:style w:type="paragraph" w:customStyle="1" w:styleId="Border">
    <w:name w:val="Border"/>
    <w:basedOn w:val="Normal"/>
    <w:qFormat/>
    <w:rsid w:val="00936B80"/>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936B80"/>
    <w:rPr>
      <w:b/>
      <w:bCs/>
      <w:i/>
      <w:iCs/>
      <w:color w:val="auto"/>
    </w:rPr>
  </w:style>
  <w:style w:type="paragraph" w:styleId="IntenseQuote">
    <w:name w:val="Intense Quote"/>
    <w:basedOn w:val="Normal"/>
    <w:next w:val="Normal"/>
    <w:link w:val="IntenseQuoteChar"/>
    <w:uiPriority w:val="30"/>
    <w:qFormat/>
    <w:rsid w:val="00936B80"/>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936B80"/>
    <w:rPr>
      <w:rFonts w:ascii="Courier New" w:eastAsia="Times New Roman" w:hAnsi="Courier New" w:cs="Times New Roman"/>
      <w:b/>
      <w:bCs/>
      <w:i/>
      <w:iCs/>
      <w:szCs w:val="20"/>
      <w:lang w:val="en-US" w:eastAsia="en-US"/>
    </w:rPr>
  </w:style>
  <w:style w:type="character" w:styleId="SubtleReference">
    <w:name w:val="Subtle Reference"/>
    <w:basedOn w:val="DefaultParagraphFont"/>
    <w:uiPriority w:val="31"/>
    <w:qFormat/>
    <w:rsid w:val="00936B80"/>
    <w:rPr>
      <w:smallCaps/>
      <w:color w:val="auto"/>
      <w:u w:val="single"/>
    </w:rPr>
  </w:style>
  <w:style w:type="character" w:styleId="IntenseReference">
    <w:name w:val="Intense Reference"/>
    <w:basedOn w:val="DefaultParagraphFont"/>
    <w:uiPriority w:val="32"/>
    <w:qFormat/>
    <w:rsid w:val="00936B80"/>
    <w:rPr>
      <w:b/>
      <w:bCs/>
      <w:smallCaps/>
      <w:color w:val="auto"/>
      <w:spacing w:val="5"/>
      <w:u w:val="single"/>
    </w:rPr>
  </w:style>
  <w:style w:type="paragraph" w:customStyle="1" w:styleId="2ColumnHeading">
    <w:name w:val="2Column Heading"/>
    <w:basedOn w:val="BodyText"/>
    <w:qFormat/>
    <w:rsid w:val="00936B80"/>
    <w:pPr>
      <w:spacing w:after="60"/>
      <w:ind w:left="-2268"/>
    </w:pPr>
    <w:rPr>
      <w:b/>
    </w:rPr>
  </w:style>
  <w:style w:type="paragraph" w:customStyle="1" w:styleId="Heading1TOC">
    <w:name w:val="Heading1 TOC"/>
    <w:basedOn w:val="Normal"/>
    <w:qFormat/>
    <w:rsid w:val="00936B80"/>
    <w:pPr>
      <w:spacing w:before="240" w:after="120"/>
    </w:pPr>
    <w:rPr>
      <w:rFonts w:ascii="Times New Roman" w:hAnsi="Times New Roman"/>
      <w:b/>
      <w:sz w:val="32"/>
    </w:rPr>
  </w:style>
  <w:style w:type="paragraph" w:customStyle="1" w:styleId="Heading2TOC">
    <w:name w:val="Heading2 TOC"/>
    <w:basedOn w:val="Normal"/>
    <w:qFormat/>
    <w:rsid w:val="00936B80"/>
    <w:pPr>
      <w:spacing w:before="240" w:after="60"/>
    </w:pPr>
    <w:rPr>
      <w:rFonts w:ascii="Times New Roman" w:hAnsi="Times New Roman"/>
      <w:b/>
      <w:sz w:val="28"/>
    </w:rPr>
  </w:style>
  <w:style w:type="character" w:customStyle="1" w:styleId="Underline">
    <w:name w:val="Underline"/>
    <w:basedOn w:val="DefaultParagraphFont"/>
    <w:qFormat/>
    <w:rsid w:val="00936B80"/>
    <w:rPr>
      <w:u w:val="single"/>
    </w:rPr>
  </w:style>
  <w:style w:type="character" w:customStyle="1" w:styleId="BoldandItalics">
    <w:name w:val="Bold and Italics"/>
    <w:qFormat/>
    <w:rsid w:val="00936B80"/>
    <w:rPr>
      <w:b/>
      <w:i/>
      <w:u w:val="none"/>
    </w:rPr>
  </w:style>
  <w:style w:type="paragraph" w:styleId="BalloonText">
    <w:name w:val="Balloon Text"/>
    <w:basedOn w:val="Normal"/>
    <w:link w:val="BalloonTextChar"/>
    <w:rsid w:val="00936B80"/>
    <w:rPr>
      <w:rFonts w:ascii="Tahoma" w:hAnsi="Tahoma" w:cs="Tahoma"/>
      <w:sz w:val="16"/>
      <w:szCs w:val="16"/>
    </w:rPr>
  </w:style>
  <w:style w:type="character" w:customStyle="1" w:styleId="BalloonTextChar">
    <w:name w:val="Balloon Text Char"/>
    <w:basedOn w:val="DefaultParagraphFont"/>
    <w:link w:val="BalloonText"/>
    <w:rsid w:val="00936B80"/>
    <w:rPr>
      <w:rFonts w:ascii="Tahoma" w:eastAsia="Times New Roman" w:hAnsi="Tahoma" w:cs="Tahoma"/>
      <w:sz w:val="16"/>
      <w:szCs w:val="16"/>
      <w:lang w:val="en-US" w:eastAsia="en-US"/>
    </w:rPr>
  </w:style>
  <w:style w:type="paragraph" w:styleId="BodyTextFirstIndent">
    <w:name w:val="Body Text First Indent"/>
    <w:basedOn w:val="BodyText"/>
    <w:link w:val="BodyTextFirstIndentChar"/>
    <w:rsid w:val="00936B80"/>
    <w:pPr>
      <w:spacing w:before="0" w:after="0"/>
      <w:ind w:firstLine="360"/>
      <w:contextualSpacing w:val="0"/>
    </w:pPr>
    <w:rPr>
      <w:rFonts w:ascii="Courier New" w:hAnsi="Courier New"/>
      <w:szCs w:val="20"/>
    </w:rPr>
  </w:style>
  <w:style w:type="character" w:customStyle="1" w:styleId="BodyTextFirstIndentChar">
    <w:name w:val="Body Text First Indent Char"/>
    <w:basedOn w:val="BodyTextChar"/>
    <w:link w:val="BodyTextFirstIndent"/>
    <w:rsid w:val="00936B80"/>
    <w:rPr>
      <w:rFonts w:ascii="Courier New" w:eastAsia="Times New Roman" w:hAnsi="Courier New" w:cs="Times New Roman"/>
      <w:sz w:val="24"/>
      <w:szCs w:val="20"/>
      <w:lang w:val="en-US" w:eastAsia="en-US"/>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6</Pages>
  <Words>1330</Words>
  <Characters>8428</Characters>
  <Application>Microsoft Office Word</Application>
  <DocSecurity>0</DocSecurity>
  <Lines>270</Lines>
  <Paragraphs>188</Paragraphs>
  <ScaleCrop>false</ScaleCrop>
  <Company>Author-it Software Corporation Ltd.</Company>
  <LinksUpToDate>false</LinksUpToDate>
  <CharactersWithSpaces>9670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FDFSUG210A Operate a juice clarification process</dc:title>
  <dc:subject>Approved</dc:subject>
  <dc:creator>AgriFood Skills Australia</dc:creator>
  <cp:keywords>Release: 1</cp:keywords>
  <dc:description>Copyright © 1996-2007 Author-it Software Corporation Ltd., all rights reserved.</dc:description>
  <cp:lastModifiedBy>Windows User</cp:lastModifiedBy>
  <cp:revision>3</cp:revision>
  <dcterms:created xsi:type="dcterms:W3CDTF">2012-05-26T16:09:00Z</dcterms:created>
  <dcterms:modified xsi:type="dcterms:W3CDTF">2012-05-26T16:09:00Z</dcterms:modified>
</cp:coreProperties>
</file>