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295" w:rsidP="00B40295">
      <w:pPr>
        <w:pStyle w:val="Title"/>
      </w:pPr>
      <w:r>
        <w:fldChar w:fldCharType="begin"/>
      </w:r>
      <w:r>
        <w:instrText xml:space="preserve"> TITLE   \* MERGEFORMAT </w:instrText>
      </w:r>
      <w:r>
        <w:fldChar w:fldCharType="separate"/>
      </w:r>
      <w:r>
        <w:t>FDFSUG104A Check a cane sample for extraneous matter</w:t>
      </w:r>
      <w:r>
        <w:fldChar w:fldCharType="end"/>
      </w:r>
    </w:p>
    <w:p w:rsidR="00B40295" w:rsidP="00B40295">
      <w:pPr>
        <w:pStyle w:val="Version"/>
        <w:sectPr w:rsidSect="005F4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10C" w:rsidP="005F410C">
      <w:pPr>
        <w:pStyle w:val="SuperHeading"/>
      </w:pPr>
      <w:r w:rsidRPr="005F410C">
        <w:t>FDFSUG104A Check a cane sample for extraneous matter</w:t>
      </w:r>
    </w:p>
    <w:p w:rsidR="00000000" w:rsidRPr="005F410C" w:rsidP="005F410C">
      <w:pPr>
        <w:pStyle w:val="Heading1"/>
      </w:pPr>
      <w:bookmarkStart w:id="1" w:name="O_391105"/>
      <w:bookmarkEnd w:id="1"/>
      <w:r w:rsidRPr="005F410C">
        <w:t>Modification History</w:t>
      </w:r>
    </w:p>
    <w:p w:rsidR="00000000" w:rsidRPr="005F410C" w:rsidP="005F410C">
      <w:pPr>
        <w:pStyle w:val="BodyText"/>
      </w:pPr>
      <w:r w:rsidRPr="005F410C">
        <w:t xml:space="preserve">New Unit based on </w:t>
      </w:r>
      <w:r w:rsidRPr="005F410C">
        <w:rPr>
          <w:rStyle w:val="Emphasis"/>
        </w:rPr>
        <w:t>SUGTAEM1A Assess extraneous matter in cane</w:t>
      </w:r>
      <w:r w:rsidRPr="005F410C">
        <w:t>.</w:t>
      </w:r>
    </w:p>
    <w:p w:rsidR="00000000" w:rsidRPr="005F410C" w:rsidP="005F410C">
      <w:pPr>
        <w:pStyle w:val="AllowPageBreak"/>
      </w:pPr>
    </w:p>
    <w:p w:rsidR="00000000" w:rsidRPr="005F410C" w:rsidP="005F410C">
      <w:pPr>
        <w:pStyle w:val="Heading1"/>
      </w:pPr>
      <w:bookmarkStart w:id="2" w:name="O_391106"/>
      <w:bookmarkEnd w:id="2"/>
      <w:r w:rsidRPr="005F410C">
        <w:t>Unit Descriptor</w:t>
      </w:r>
    </w:p>
    <w:p w:rsidR="00000000" w:rsidRPr="005F410C" w:rsidP="005F410C">
      <w:pPr>
        <w:pStyle w:val="BodyText"/>
      </w:pPr>
      <w:r w:rsidRPr="005F410C">
        <w:t xml:space="preserve">This unit describes the outcomes required to carry out </w:t>
      </w:r>
      <w:r w:rsidRPr="005F410C">
        <w:t>a visual and physical assessment of extraneous matter in cane samples upon arrival at a sugar mill.</w:t>
      </w:r>
    </w:p>
    <w:p w:rsidR="00000000" w:rsidRPr="005F410C" w:rsidP="005F410C">
      <w:pPr>
        <w:pStyle w:val="AllowPageBreak"/>
      </w:pPr>
    </w:p>
    <w:p w:rsidR="00000000" w:rsidRPr="005F410C" w:rsidP="005F410C">
      <w:pPr>
        <w:pStyle w:val="Heading1"/>
      </w:pPr>
      <w:bookmarkStart w:id="3" w:name="O_391107"/>
      <w:bookmarkEnd w:id="3"/>
      <w:r w:rsidRPr="005F410C">
        <w:t>Application of the Unit</w:t>
      </w:r>
    </w:p>
    <w:p w:rsidR="00000000" w:rsidRPr="005F410C" w:rsidP="005F410C">
      <w:pPr>
        <w:pStyle w:val="BodyText"/>
      </w:pPr>
      <w:r w:rsidRPr="005F410C">
        <w:t>This unit has application in the sugar milling industry.</w:t>
      </w:r>
    </w:p>
    <w:p w:rsidR="00000000" w:rsidRPr="005F410C" w:rsidP="005F410C">
      <w:pPr>
        <w:pStyle w:val="AllowPageBreak"/>
      </w:pPr>
    </w:p>
    <w:p w:rsidR="00000000" w:rsidRPr="005F410C" w:rsidP="005F410C">
      <w:pPr>
        <w:pStyle w:val="Heading1"/>
      </w:pPr>
      <w:bookmarkStart w:id="4" w:name="O_391108"/>
      <w:bookmarkEnd w:id="4"/>
      <w:r w:rsidRPr="005F410C">
        <w:t>Licensing/Regulatory Information</w:t>
      </w:r>
    </w:p>
    <w:p w:rsidR="00000000" w:rsidRPr="005F410C" w:rsidP="005F410C">
      <w:pPr>
        <w:pStyle w:val="BodyText"/>
      </w:pPr>
      <w:r w:rsidRPr="005F410C">
        <w:t>Not appl</w:t>
      </w:r>
      <w:r w:rsidRPr="005F410C">
        <w:t>icable.</w:t>
      </w:r>
    </w:p>
    <w:p w:rsidR="00000000" w:rsidRPr="005F410C" w:rsidP="005F410C">
      <w:pPr>
        <w:pStyle w:val="AllowPageBreak"/>
      </w:pPr>
    </w:p>
    <w:p w:rsidR="00000000" w:rsidRPr="005F410C" w:rsidP="005F410C">
      <w:pPr>
        <w:pStyle w:val="Heading1"/>
      </w:pPr>
      <w:bookmarkStart w:id="5" w:name="O_391109"/>
      <w:bookmarkEnd w:id="5"/>
      <w:r w:rsidRPr="005F410C">
        <w:t>Pre-Requisites</w:t>
      </w:r>
    </w:p>
    <w:p w:rsidR="00000000" w:rsidRPr="005F410C" w:rsidP="005F410C">
      <w:pPr>
        <w:pStyle w:val="BodyText"/>
      </w:pPr>
      <w:r w:rsidRPr="005F410C">
        <w:t xml:space="preserve">There are no pre-requisite units for this competency standard. </w:t>
      </w:r>
    </w:p>
    <w:p w:rsidR="00000000" w:rsidRPr="005F410C" w:rsidP="005F410C">
      <w:pPr>
        <w:pStyle w:val="AllowPageBreak"/>
      </w:pPr>
    </w:p>
    <w:p w:rsidR="00000000" w:rsidRPr="005F410C" w:rsidP="005F410C">
      <w:pPr>
        <w:pStyle w:val="Heading1"/>
      </w:pPr>
      <w:bookmarkStart w:id="6" w:name="O_391110"/>
      <w:bookmarkEnd w:id="6"/>
      <w:r w:rsidRPr="005F410C">
        <w:t>Employability Skills Information</w:t>
      </w:r>
    </w:p>
    <w:p w:rsidR="00000000" w:rsidRPr="005F410C" w:rsidP="005F410C">
      <w:pPr>
        <w:pStyle w:val="BodyText"/>
      </w:pPr>
      <w:r w:rsidRPr="005F410C">
        <w:t>This unit contains employability skills.</w:t>
      </w:r>
    </w:p>
    <w:p w:rsidR="00000000" w:rsidRPr="005F410C" w:rsidP="005F410C">
      <w:pPr>
        <w:pStyle w:val="AllowPageBreak"/>
      </w:pPr>
    </w:p>
    <w:p w:rsidR="00000000" w:rsidRPr="005F410C" w:rsidP="005F410C">
      <w:pPr>
        <w:pStyle w:val="Heading1"/>
      </w:pPr>
      <w:bookmarkStart w:id="7" w:name="O_391111"/>
      <w:bookmarkEnd w:id="7"/>
      <w:r w:rsidRPr="005F410C">
        <w:t>Elements and Performance Cri</w:t>
      </w:r>
      <w:r w:rsidRPr="005F410C">
        <w:t>teria Pre-Content</w:t>
      </w:r>
    </w:p>
    <w:tbl>
      <w:tblPr>
        <w:tblW w:w="9462" w:type="dxa"/>
        <w:tblLayout w:type="fixed"/>
        <w:tblCellMar>
          <w:left w:w="62" w:type="dxa"/>
          <w:right w:w="62" w:type="dxa"/>
        </w:tblCellMar>
        <w:tblLook w:val="0000"/>
      </w:tblPr>
      <w:tblGrid>
        <w:gridCol w:w="2700"/>
        <w:gridCol w:w="6762"/>
      </w:tblGrid>
      <w:tr w:rsidTr="005F410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410C">
            <w:pPr>
              <w:pStyle w:val="BodyText"/>
              <w:rPr>
                <w:lang w:val="en-NZ"/>
              </w:rPr>
            </w:pPr>
            <w:r w:rsidRPr="005F410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F410C" w:rsidP="005F410C">
            <w:pPr>
              <w:pStyle w:val="BodyText"/>
            </w:pPr>
            <w:r w:rsidRPr="005F410C">
              <w:t>Performance criteria describe the performance needed to demonstrate achievement of the element. Where bold italicised text is used, further information is detailed in the r</w:t>
            </w:r>
            <w:r w:rsidRPr="005F410C">
              <w:t>equired skills and knowledge section and the range statement. Assessment of performance is to be consistent with the evidence guide.</w:t>
            </w:r>
          </w:p>
        </w:tc>
      </w:tr>
    </w:tbl>
    <w:p w:rsidR="00000000" w:rsidRPr="005F410C" w:rsidP="005F410C">
      <w:pPr>
        <w:pStyle w:val="BodyText"/>
      </w:pPr>
    </w:p>
    <w:p w:rsidR="00000000" w:rsidRPr="005F410C" w:rsidP="005F410C">
      <w:pPr>
        <w:pStyle w:val="AllowPageBreak"/>
      </w:pPr>
    </w:p>
    <w:p w:rsidR="00000000" w:rsidRPr="005F410C" w:rsidP="005F410C">
      <w:pPr>
        <w:pStyle w:val="Heading1"/>
      </w:pPr>
      <w:bookmarkStart w:id="8" w:name="O_391112"/>
      <w:bookmarkEnd w:id="8"/>
      <w:r w:rsidRPr="005F410C">
        <w:t>Elements and Performance Criteria</w:t>
      </w:r>
    </w:p>
    <w:tbl>
      <w:tblPr>
        <w:tblW w:w="9462" w:type="dxa"/>
        <w:tblLayout w:type="fixed"/>
        <w:tblCellMar>
          <w:left w:w="62" w:type="dxa"/>
          <w:right w:w="62" w:type="dxa"/>
        </w:tblCellMar>
        <w:tblLook w:val="0000"/>
      </w:tblPr>
      <w:tblGrid>
        <w:gridCol w:w="2700"/>
        <w:gridCol w:w="6762"/>
      </w:tblGrid>
      <w:tr w:rsidTr="005F410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F410C">
            <w:pPr>
              <w:pStyle w:val="TableHeading"/>
            </w:pPr>
            <w:r w:rsidRPr="005F410C">
              <w:t>ELEMENT</w:t>
            </w:r>
          </w:p>
        </w:tc>
        <w:tc>
          <w:tcPr>
            <w:tcW w:w="6762" w:type="dxa"/>
            <w:tcBorders>
              <w:top w:val="nil"/>
              <w:left w:val="nil"/>
              <w:bottom w:val="nil"/>
              <w:right w:val="nil"/>
            </w:tcBorders>
            <w:tcMar>
              <w:top w:w="0" w:type="dxa"/>
              <w:left w:w="62" w:type="dxa"/>
              <w:bottom w:w="0" w:type="dxa"/>
              <w:right w:w="62" w:type="dxa"/>
            </w:tcMar>
            <w:vAlign w:val="bottom"/>
          </w:tcPr>
          <w:p w:rsidR="00000000" w:rsidP="005F410C">
            <w:pPr>
              <w:pStyle w:val="TableHeading"/>
            </w:pPr>
            <w:r w:rsidRPr="005F410C">
              <w:t>PERFORMANCE CRITERIA</w:t>
            </w:r>
          </w:p>
        </w:tc>
      </w:tr>
      <w:tr w:rsidTr="005F410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410C">
            <w:pPr>
              <w:pStyle w:val="List"/>
              <w:rPr>
                <w:lang w:val="en-NZ"/>
              </w:rPr>
            </w:pPr>
            <w:r w:rsidRPr="005F410C">
              <w:t>1  Prepare for assessment of cane</w:t>
            </w:r>
          </w:p>
        </w:tc>
        <w:tc>
          <w:tcPr>
            <w:tcW w:w="6762" w:type="dxa"/>
            <w:tcBorders>
              <w:top w:val="nil"/>
              <w:left w:val="nil"/>
              <w:bottom w:val="nil"/>
              <w:right w:val="nil"/>
            </w:tcBorders>
            <w:tcMar>
              <w:top w:w="0" w:type="dxa"/>
              <w:left w:w="62" w:type="dxa"/>
              <w:bottom w:w="0" w:type="dxa"/>
              <w:right w:w="62" w:type="dxa"/>
            </w:tcMar>
          </w:tcPr>
          <w:p w:rsidR="00000000" w:rsidRPr="005F410C" w:rsidP="005F410C">
            <w:pPr>
              <w:pStyle w:val="List"/>
            </w:pPr>
            <w:r w:rsidRPr="005F410C">
              <w:t>1.1 Personal protective clothing and equipment is selected and used</w:t>
            </w:r>
          </w:p>
          <w:p w:rsidR="00000000" w:rsidRPr="005F410C" w:rsidP="005F410C">
            <w:pPr>
              <w:pStyle w:val="List"/>
            </w:pPr>
            <w:r w:rsidRPr="005F410C">
              <w:t>1.2 Health and safety hazards/maintenance requirements are identified and reported to appropriate personnel according to workplace reporting procedures</w:t>
            </w:r>
          </w:p>
          <w:p w:rsidR="00000000" w:rsidRPr="005F410C" w:rsidP="005F410C">
            <w:pPr>
              <w:pStyle w:val="List"/>
            </w:pPr>
            <w:r w:rsidRPr="005F410C">
              <w:t>1.3 Cane sample is collected accordi</w:t>
            </w:r>
            <w:r w:rsidRPr="005F410C">
              <w:t>ng to workplace procedure</w:t>
            </w:r>
          </w:p>
          <w:p w:rsidR="00000000" w:rsidP="005F410C">
            <w:pPr>
              <w:pStyle w:val="List"/>
              <w:rPr>
                <w:lang w:val="en-NZ"/>
              </w:rPr>
            </w:pPr>
            <w:r w:rsidRPr="005F410C">
              <w:t>1.4 Weighing equipment is prepared for operation</w:t>
            </w:r>
          </w:p>
        </w:tc>
      </w:tr>
      <w:tr w:rsidTr="005F410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410C">
            <w:pPr>
              <w:pStyle w:val="List"/>
              <w:rPr>
                <w:lang w:val="en-NZ"/>
              </w:rPr>
            </w:pPr>
            <w:r w:rsidRPr="005F410C">
              <w:t>2  Assess extraneous matter in cane</w:t>
            </w:r>
          </w:p>
        </w:tc>
        <w:tc>
          <w:tcPr>
            <w:tcW w:w="6762" w:type="dxa"/>
            <w:tcBorders>
              <w:top w:val="nil"/>
              <w:left w:val="nil"/>
              <w:bottom w:val="nil"/>
              <w:right w:val="nil"/>
            </w:tcBorders>
            <w:tcMar>
              <w:top w:w="0" w:type="dxa"/>
              <w:left w:w="62" w:type="dxa"/>
              <w:bottom w:w="0" w:type="dxa"/>
              <w:right w:w="62" w:type="dxa"/>
            </w:tcMar>
          </w:tcPr>
          <w:p w:rsidR="00000000" w:rsidRPr="005F410C" w:rsidP="005F410C">
            <w:pPr>
              <w:pStyle w:val="List"/>
            </w:pPr>
            <w:r w:rsidRPr="005F410C">
              <w:t>2.1 Cane sample is inspected and sorted according to workplace procedure</w:t>
            </w:r>
          </w:p>
          <w:p w:rsidR="00000000" w:rsidRPr="005F410C" w:rsidP="005F410C">
            <w:pPr>
              <w:pStyle w:val="List"/>
            </w:pPr>
            <w:r w:rsidRPr="005F410C">
              <w:t>2.2 Extraneous matter in cane is assessed according to workplace proced</w:t>
            </w:r>
            <w:r w:rsidRPr="005F410C">
              <w:t>ure</w:t>
            </w:r>
          </w:p>
          <w:p w:rsidR="00000000" w:rsidRPr="005F410C" w:rsidP="005F410C">
            <w:pPr>
              <w:pStyle w:val="List"/>
            </w:pPr>
            <w:r w:rsidRPr="005F410C">
              <w:t>2.3 Results of assessment are recorded according to workplace recording requirements</w:t>
            </w:r>
          </w:p>
        </w:tc>
      </w:tr>
    </w:tbl>
    <w:p w:rsidR="00000000" w:rsidRPr="005F410C" w:rsidP="005F410C">
      <w:pPr>
        <w:pStyle w:val="BodyText"/>
      </w:pPr>
    </w:p>
    <w:p w:rsidR="00000000" w:rsidRPr="005F410C" w:rsidP="005F410C">
      <w:pPr>
        <w:pStyle w:val="AllowPageBreak"/>
      </w:pPr>
    </w:p>
    <w:p w:rsidR="00000000" w:rsidRPr="005F410C" w:rsidP="005F410C">
      <w:pPr>
        <w:pStyle w:val="Heading1"/>
      </w:pPr>
      <w:bookmarkStart w:id="9" w:name="O_391113"/>
      <w:bookmarkEnd w:id="9"/>
      <w:r w:rsidRPr="005F410C">
        <w:t>Required Skills and Knowledge</w:t>
      </w:r>
    </w:p>
    <w:p w:rsidR="00000000" w:rsidRPr="005F410C" w:rsidP="005F410C">
      <w:pPr>
        <w:pStyle w:val="BodyText"/>
      </w:pPr>
      <w:r w:rsidRPr="005F410C">
        <w:t>This section describes the skills and knowledge required for this unit.</w:t>
      </w:r>
    </w:p>
    <w:tbl>
      <w:tblPr>
        <w:tblW w:w="9462" w:type="dxa"/>
        <w:tblLayout w:type="fixed"/>
        <w:tblCellMar>
          <w:left w:w="62" w:type="dxa"/>
          <w:right w:w="62" w:type="dxa"/>
        </w:tblCellMar>
        <w:tblLook w:val="0000"/>
      </w:tblPr>
      <w:tblGrid>
        <w:gridCol w:w="9462"/>
      </w:tblGrid>
      <w:tr w:rsidTr="005F410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410C">
            <w:pPr>
              <w:pStyle w:val="TableHeading"/>
            </w:pPr>
            <w:r w:rsidRPr="005F410C">
              <w:t>Required skills include:</w:t>
            </w:r>
          </w:p>
        </w:tc>
      </w:tr>
      <w:tr w:rsidTr="005F410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410C" w:rsidP="005F410C">
            <w:pPr>
              <w:pStyle w:val="BodyText"/>
            </w:pPr>
            <w:r w:rsidRPr="005F410C">
              <w:rPr>
                <w:rStyle w:val="SpecialBold"/>
              </w:rPr>
              <w:t>Ability to:</w:t>
            </w:r>
          </w:p>
          <w:p w:rsidR="00000000" w:rsidRPr="005F410C" w:rsidP="005F410C">
            <w:pPr>
              <w:pStyle w:val="ListBullet"/>
            </w:pPr>
            <w:r w:rsidRPr="005F410C">
              <w:t>access workplace information on operating requirements</w:t>
            </w:r>
          </w:p>
          <w:p w:rsidR="00000000" w:rsidRPr="005F410C" w:rsidP="005F410C">
            <w:pPr>
              <w:pStyle w:val="ListBullet"/>
            </w:pPr>
            <w:r w:rsidRPr="005F410C">
              <w:t>select, fit and use personal protective clothing and/or equipment</w:t>
            </w:r>
          </w:p>
          <w:p w:rsidR="00000000" w:rsidRPr="005F410C" w:rsidP="005F410C">
            <w:pPr>
              <w:pStyle w:val="ListBullet"/>
            </w:pPr>
            <w:r w:rsidRPr="005F410C">
              <w:t>collect cane samples for testing according to workplace procedure</w:t>
            </w:r>
          </w:p>
          <w:p w:rsidR="00000000" w:rsidRPr="005F410C" w:rsidP="005F410C">
            <w:pPr>
              <w:pStyle w:val="ListBullet"/>
            </w:pPr>
            <w:r w:rsidRPr="005F410C">
              <w:t>confirm that scales are tared or zeroed and operating correctly</w:t>
            </w:r>
          </w:p>
          <w:p w:rsidR="00000000" w:rsidRPr="005F410C" w:rsidP="005F410C">
            <w:pPr>
              <w:pStyle w:val="ListBullet"/>
            </w:pPr>
            <w:r w:rsidRPr="005F410C">
              <w:t>condu</w:t>
            </w:r>
            <w:r w:rsidRPr="005F410C">
              <w:t>ct visual and physical assessment of cane</w:t>
            </w:r>
          </w:p>
          <w:p w:rsidR="00000000" w:rsidRPr="005F410C" w:rsidP="005F410C">
            <w:pPr>
              <w:pStyle w:val="ListBullet"/>
            </w:pPr>
            <w:r w:rsidRPr="005F410C">
              <w:t>record results</w:t>
            </w:r>
          </w:p>
          <w:p w:rsidR="00000000" w:rsidRPr="005F410C" w:rsidP="005F410C">
            <w:pPr>
              <w:pStyle w:val="ListBullet"/>
            </w:pPr>
            <w:r w:rsidRPr="005F410C">
              <w:t>identify and report cane assessments that are not within specification</w:t>
            </w:r>
          </w:p>
          <w:p w:rsidR="00000000" w:rsidRPr="005F410C" w:rsidP="005F410C">
            <w:pPr>
              <w:pStyle w:val="ListBullet"/>
            </w:pPr>
            <w:r w:rsidRPr="005F410C">
              <w:t>follow procedures to repeat or validate results as required</w:t>
            </w:r>
          </w:p>
          <w:p w:rsidR="00000000" w:rsidRPr="005F410C" w:rsidP="005F410C">
            <w:pPr>
              <w:pStyle w:val="ListBullet"/>
            </w:pPr>
            <w:r w:rsidRPr="005F410C">
              <w:t>maintain work area to meet housekeeping standards</w:t>
            </w:r>
          </w:p>
          <w:p w:rsidR="00000000" w:rsidP="005F410C">
            <w:pPr>
              <w:pStyle w:val="ListBullet"/>
              <w:rPr>
                <w:lang w:val="en-NZ"/>
              </w:rPr>
            </w:pPr>
            <w:r w:rsidRPr="005F410C">
              <w:t>maintain workplace</w:t>
            </w:r>
            <w:r w:rsidRPr="005F410C">
              <w:t xml:space="preserve"> records</w:t>
            </w:r>
          </w:p>
        </w:tc>
      </w:tr>
      <w:tr w:rsidTr="005F410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F410C">
            <w:pPr>
              <w:pStyle w:val="TableHeading"/>
            </w:pPr>
            <w:r w:rsidRPr="005F410C">
              <w:t>Required knowledge includes:</w:t>
            </w:r>
          </w:p>
        </w:tc>
      </w:tr>
      <w:tr w:rsidTr="005F410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F410C" w:rsidP="005F410C">
            <w:pPr>
              <w:pStyle w:val="BodyText"/>
            </w:pPr>
            <w:r w:rsidRPr="005F410C">
              <w:rPr>
                <w:rStyle w:val="SpecialBold"/>
              </w:rPr>
              <w:t>Knowledge of:</w:t>
            </w:r>
          </w:p>
          <w:p w:rsidR="00000000" w:rsidRPr="005F410C" w:rsidP="005F410C">
            <w:pPr>
              <w:pStyle w:val="ListBullet"/>
            </w:pPr>
            <w:r w:rsidRPr="005F410C">
              <w:t>purpose of extraneous matter test and nature of extraneous matter typically found in cane</w:t>
            </w:r>
          </w:p>
          <w:p w:rsidR="00000000" w:rsidRPr="005F410C" w:rsidP="005F410C">
            <w:pPr>
              <w:pStyle w:val="ListBullet"/>
            </w:pPr>
            <w:r w:rsidRPr="005F410C">
              <w:t>conditions and practices that affect the level of extraneous matter found in cane</w:t>
            </w:r>
          </w:p>
          <w:p w:rsidR="00000000" w:rsidRPr="005F410C" w:rsidP="005F410C">
            <w:pPr>
              <w:pStyle w:val="ListBullet"/>
            </w:pPr>
            <w:r w:rsidRPr="005F410C">
              <w:t>the effect of high levels of extraneous matter on downstream operations</w:t>
            </w:r>
          </w:p>
          <w:p w:rsidR="00000000" w:rsidRPr="005F410C" w:rsidP="005F410C">
            <w:pPr>
              <w:pStyle w:val="ListBullet"/>
            </w:pPr>
            <w:r w:rsidRPr="005F410C">
              <w:t>safe work procedures including awareness of health and safety hazards related to turbine operation and associated control measures</w:t>
            </w:r>
          </w:p>
          <w:p w:rsidR="00000000" w:rsidRPr="005F410C" w:rsidP="005F410C">
            <w:pPr>
              <w:pStyle w:val="ListBullet"/>
            </w:pPr>
            <w:r w:rsidRPr="005F410C">
              <w:t xml:space="preserve">methods used to sort and calculate extraneous matter </w:t>
            </w:r>
            <w:r w:rsidRPr="005F410C">
              <w:t>in a sample</w:t>
            </w:r>
          </w:p>
          <w:p w:rsidR="00000000" w:rsidRPr="005F410C" w:rsidP="005F410C">
            <w:pPr>
              <w:pStyle w:val="ListBullet"/>
            </w:pPr>
            <w:r w:rsidRPr="005F410C">
              <w:t>method and purpose of taring or zeroing weighing equipment</w:t>
            </w:r>
          </w:p>
          <w:p w:rsidR="00000000" w:rsidRPr="005F410C" w:rsidP="005F410C">
            <w:pPr>
              <w:pStyle w:val="ListBullet"/>
            </w:pPr>
            <w:r w:rsidRPr="005F410C">
              <w:t>procedure for reporting faulty weighing equipment</w:t>
            </w:r>
          </w:p>
        </w:tc>
      </w:tr>
    </w:tbl>
    <w:p w:rsidR="00000000" w:rsidRPr="005F410C" w:rsidP="005F410C">
      <w:pPr>
        <w:pStyle w:val="BodyText"/>
      </w:pPr>
    </w:p>
    <w:p w:rsidR="00000000" w:rsidRPr="005F410C" w:rsidP="005F410C">
      <w:pPr>
        <w:pStyle w:val="AllowPageBreak"/>
      </w:pPr>
    </w:p>
    <w:p w:rsidR="00000000" w:rsidRPr="005F410C" w:rsidP="005F410C">
      <w:pPr>
        <w:pStyle w:val="Heading1"/>
      </w:pPr>
      <w:bookmarkStart w:id="10" w:name="O_391114"/>
      <w:bookmarkEnd w:id="10"/>
      <w:r w:rsidRPr="005F410C">
        <w:t>Evidence Guide</w:t>
      </w:r>
    </w:p>
    <w:tbl>
      <w:tblPr>
        <w:tblW w:w="9462" w:type="dxa"/>
        <w:tblLayout w:type="fixed"/>
        <w:tblCellMar>
          <w:left w:w="62" w:type="dxa"/>
          <w:right w:w="62" w:type="dxa"/>
        </w:tblCellMar>
        <w:tblLook w:val="0000"/>
      </w:tblPr>
      <w:tblGrid>
        <w:gridCol w:w="3800"/>
        <w:gridCol w:w="5662"/>
      </w:tblGrid>
      <w:tr w:rsidTr="005F410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The evidence guide provides advice on assessment and must be read in conjunction with the performance criteria, required skills and knowledge, range statement and the Assessment Guidelines for the Training Package.</w:t>
            </w:r>
          </w:p>
        </w:tc>
      </w:tr>
      <w:tr w:rsidTr="005F410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 xml:space="preserve">Assessment must </w:t>
            </w:r>
            <w:r w:rsidRPr="005F410C">
              <w:t>be carried out in a manner that recognises the cultural and literacy requirements of the assessee and is appropriate to the work performed.</w:t>
            </w:r>
          </w:p>
        </w:tc>
      </w:tr>
      <w:tr w:rsidTr="005F410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Evidence of ability to</w:t>
            </w:r>
            <w:r w:rsidRPr="005F410C">
              <w:t>:</w:t>
            </w:r>
          </w:p>
          <w:p w:rsidR="00000000" w:rsidRPr="005F410C" w:rsidP="005F410C">
            <w:pPr>
              <w:pStyle w:val="ListBullet"/>
            </w:pPr>
            <w:r w:rsidRPr="005F410C">
              <w:t>collect cane samples for testing according to workplace procedure</w:t>
            </w:r>
          </w:p>
          <w:p w:rsidR="00000000" w:rsidRPr="005F410C" w:rsidP="005F410C">
            <w:pPr>
              <w:pStyle w:val="ListBullet"/>
            </w:pPr>
            <w:r w:rsidRPr="005F410C">
              <w:t>conduct visual and physical assessment of cane</w:t>
            </w:r>
          </w:p>
          <w:p w:rsidR="00000000" w:rsidP="005F410C">
            <w:pPr>
              <w:pStyle w:val="ListBullet"/>
              <w:rPr>
                <w:lang w:val="en-NZ"/>
              </w:rPr>
            </w:pPr>
            <w:r w:rsidRPr="005F410C">
              <w:t>follow procedures to repeat or validate results as required.</w:t>
            </w:r>
          </w:p>
        </w:tc>
      </w:tr>
      <w:tr w:rsidTr="005F410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Assessment must occur in a real or simulated workplace where the assessee has access to:</w:t>
            </w:r>
          </w:p>
          <w:p w:rsidR="00000000" w:rsidRPr="005F410C" w:rsidP="005F410C">
            <w:pPr>
              <w:pStyle w:val="ListBullet"/>
            </w:pPr>
            <w:r w:rsidRPr="005F410C">
              <w:t>Sampling plan</w:t>
            </w:r>
          </w:p>
          <w:p w:rsidR="00000000" w:rsidRPr="005F410C" w:rsidP="005F410C">
            <w:pPr>
              <w:pStyle w:val="ListBullet"/>
            </w:pPr>
            <w:r w:rsidRPr="005F410C">
              <w:t>Extraneous matter/quality specifications</w:t>
            </w:r>
          </w:p>
          <w:p w:rsidR="00000000" w:rsidRPr="005F410C" w:rsidP="005F410C">
            <w:pPr>
              <w:pStyle w:val="ListBullet"/>
            </w:pPr>
            <w:r w:rsidRPr="005F410C">
              <w:t>Weighing equipment</w:t>
            </w:r>
          </w:p>
          <w:p w:rsidR="00000000" w:rsidRPr="005F410C" w:rsidP="005F410C">
            <w:pPr>
              <w:pStyle w:val="ListBullet"/>
            </w:pPr>
            <w:r w:rsidRPr="005F410C">
              <w:t>Operating procedures and related advice on equipment operation</w:t>
            </w:r>
          </w:p>
          <w:p w:rsidR="00000000" w:rsidRPr="005F410C" w:rsidP="005F410C">
            <w:pPr>
              <w:pStyle w:val="ListBullet"/>
            </w:pPr>
            <w:r w:rsidRPr="005F410C">
              <w:t xml:space="preserve">Personal protective clothing </w:t>
            </w:r>
            <w:r w:rsidRPr="005F410C">
              <w:t>and equipment</w:t>
            </w:r>
          </w:p>
          <w:p w:rsidR="00000000" w:rsidRPr="005F410C" w:rsidP="005F410C">
            <w:pPr>
              <w:pStyle w:val="ListBullet"/>
            </w:pPr>
            <w:r w:rsidRPr="005F410C">
              <w:t>Housekeeping standards and procedures</w:t>
            </w:r>
          </w:p>
          <w:p w:rsidR="00000000" w:rsidP="005F410C">
            <w:pPr>
              <w:pStyle w:val="ListBullet"/>
              <w:rPr>
                <w:lang w:val="en-NZ"/>
              </w:rPr>
            </w:pPr>
            <w:r w:rsidRPr="005F410C">
              <w:t>Workplace information recording systems, requirements and procedures.</w:t>
            </w:r>
          </w:p>
        </w:tc>
      </w:tr>
      <w:tr w:rsidTr="005F410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Other units of competency relevant to the work role should be assessed in conjunction with this unit.</w:t>
            </w:r>
          </w:p>
        </w:tc>
      </w:tr>
      <w:tr w:rsidTr="005F410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 xml:space="preserve">To ensure consistency in one's performance, competency should be demonstrated on more than one occasion over a period of time in order to cover a variety of circumstances, cases and responsibilities, and where possible, </w:t>
            </w:r>
            <w:r w:rsidRPr="005F410C">
              <w:t>over a number of assessment activities.</w:t>
            </w:r>
          </w:p>
        </w:tc>
      </w:tr>
    </w:tbl>
    <w:p w:rsidR="00000000" w:rsidRPr="005F410C" w:rsidP="005F410C">
      <w:pPr>
        <w:pStyle w:val="BodyText"/>
      </w:pPr>
    </w:p>
    <w:p w:rsidR="00000000" w:rsidRPr="005F410C" w:rsidP="005F410C">
      <w:pPr>
        <w:pStyle w:val="AllowPageBreak"/>
      </w:pPr>
    </w:p>
    <w:p w:rsidR="00000000" w:rsidRPr="005F410C" w:rsidP="005F410C">
      <w:pPr>
        <w:pStyle w:val="Heading1"/>
      </w:pPr>
      <w:bookmarkStart w:id="11" w:name="O_391115"/>
      <w:bookmarkEnd w:id="11"/>
      <w:r w:rsidRPr="005F410C">
        <w:t>Range Statement</w:t>
      </w:r>
    </w:p>
    <w:tbl>
      <w:tblPr>
        <w:tblW w:w="9462" w:type="dxa"/>
        <w:tblLayout w:type="fixed"/>
        <w:tblCellMar>
          <w:left w:w="62" w:type="dxa"/>
          <w:right w:w="62" w:type="dxa"/>
        </w:tblCellMar>
        <w:tblLook w:val="0000"/>
      </w:tblPr>
      <w:tblGrid>
        <w:gridCol w:w="3676"/>
        <w:gridCol w:w="5786"/>
      </w:tblGrid>
      <w:tr w:rsidTr="005F410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The range statement relates to the unit of competency as a whole. It allows for different work environments and situations that may affect performance. Bold italicised wording, if u</w:t>
            </w:r>
            <w:r w:rsidRPr="005F410C">
              <w:t>sed in the performance criteria, is detailed below. Essential operating conditions that may be present with training and assessment (depending on the work situation, needs of the candidate, accessibility of the item, and local industry and regional context</w:t>
            </w:r>
            <w:r w:rsidRPr="005F410C">
              <w:t>s) may also be included.</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Policies and procedures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Work is carried out in accordance with company policies and procedures, licensing requirements, legislative requirements, codes of practice and industrial awards and agreements.</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Codes of Practice</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Codes of practice include the Sugar Milling Operations Industry Code of Practice.</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Workplace information</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Workplace information can include:</w:t>
            </w:r>
          </w:p>
          <w:p w:rsidR="00000000" w:rsidRPr="005F410C" w:rsidP="005F410C">
            <w:pPr>
              <w:pStyle w:val="ListBullet"/>
            </w:pPr>
            <w:r w:rsidRPr="005F410C">
              <w:t>Standard Operating Procedures (SOPs)</w:t>
            </w:r>
          </w:p>
          <w:p w:rsidR="00000000" w:rsidRPr="005F410C" w:rsidP="005F410C">
            <w:pPr>
              <w:pStyle w:val="ListBullet"/>
            </w:pPr>
            <w:r w:rsidRPr="005F410C">
              <w:t xml:space="preserve">sampling plans and </w:t>
            </w:r>
          </w:p>
          <w:p w:rsidR="00000000" w:rsidP="005F410C">
            <w:pPr>
              <w:pStyle w:val="ListBullet"/>
              <w:rPr>
                <w:lang w:val="en-NZ"/>
              </w:rPr>
            </w:pPr>
            <w:r w:rsidRPr="005F410C">
              <w:t>cane extraneous matter/quality specifications.</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Cane inspe</w:t>
            </w:r>
            <w:r w:rsidRPr="005F410C">
              <w:rPr>
                <w:rStyle w:val="SpecialBold"/>
              </w:rPr>
              <w:t>ction and assessment</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Cane inspection and assessment may be visual and/or by weight.</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Hazards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Hazards typically include those associated with manual handling.</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Preparation of weighing equipment</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Preparation of weighing equipment typically includes:</w:t>
            </w:r>
          </w:p>
          <w:p w:rsidR="00000000" w:rsidRPr="005F410C" w:rsidP="005F410C">
            <w:pPr>
              <w:pStyle w:val="ListBullet"/>
            </w:pPr>
            <w:r w:rsidRPr="005F410C">
              <w:t xml:space="preserve">taring or zeroing scales and </w:t>
            </w:r>
          </w:p>
          <w:p w:rsidR="00000000" w:rsidP="005F410C">
            <w:pPr>
              <w:pStyle w:val="ListBullet"/>
              <w:rPr>
                <w:lang w:val="en-NZ"/>
              </w:rPr>
            </w:pPr>
            <w:r w:rsidRPr="005F410C">
              <w:t>confirming calibration using check weights.</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Teamwork</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t>Work may require the ability to work within a team environment.</w:t>
            </w:r>
          </w:p>
        </w:tc>
      </w:tr>
      <w:tr w:rsidTr="005F410C">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0C">
            <w:pPr>
              <w:pStyle w:val="BodyText"/>
              <w:rPr>
                <w:lang w:val="en-NZ"/>
              </w:rPr>
            </w:pPr>
            <w:r w:rsidRPr="005F410C">
              <w:rPr>
                <w:rStyle w:val="SpecialBold"/>
              </w:rPr>
              <w:t>Information systems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0C" w:rsidP="005F410C">
            <w:pPr>
              <w:pStyle w:val="BodyText"/>
            </w:pPr>
            <w:r w:rsidRPr="005F410C">
              <w:t>Information systems may be print or screen based.</w:t>
            </w:r>
          </w:p>
        </w:tc>
      </w:tr>
    </w:tbl>
    <w:p w:rsidR="00000000" w:rsidRPr="005F410C" w:rsidP="005F410C">
      <w:pPr>
        <w:pStyle w:val="BodyText"/>
      </w:pPr>
    </w:p>
    <w:p w:rsidR="00000000" w:rsidRPr="005F410C" w:rsidP="005F410C">
      <w:pPr>
        <w:pStyle w:val="AllowPageBreak"/>
      </w:pPr>
    </w:p>
    <w:p w:rsidR="00000000" w:rsidRPr="005F410C" w:rsidP="005F410C">
      <w:pPr>
        <w:pStyle w:val="Heading1"/>
      </w:pPr>
      <w:bookmarkStart w:id="12" w:name="O_391116"/>
      <w:bookmarkEnd w:id="12"/>
      <w:r w:rsidRPr="005F410C">
        <w:t>Unit Sector(s)</w:t>
      </w:r>
    </w:p>
    <w:p w:rsidR="00000000" w:rsidRPr="005F410C" w:rsidP="005F410C">
      <w:pPr>
        <w:pStyle w:val="BodyText"/>
      </w:pPr>
      <w:r w:rsidRPr="005F410C">
        <w:t>Sugar Milling</w:t>
      </w:r>
    </w:p>
    <w:p w:rsidR="00000000" w:rsidRPr="005F410C" w:rsidP="005F410C"/>
    <w:sectPr w:rsidSect="005F4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95" w:rsidP="00B40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5" w:rsidP="005F4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295" w:rsidP="005F4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0295" w:rsidP="005F4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295" w:rsidP="00B402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5" w:rsidP="005F410C">
    <w:pPr>
      <w:pStyle w:val="Header"/>
      <w:framePr w:wrap="around"/>
    </w:pPr>
    <w:r>
      <w:fldChar w:fldCharType="begin"/>
    </w:r>
    <w:r>
      <w:instrText xml:space="preserve"> TITLE   \* MERGEFORMAT </w:instrText>
    </w:r>
    <w:r>
      <w:fldChar w:fldCharType="separate"/>
    </w:r>
    <w:r>
      <w:t>FDFSUG104A Check a cane sample for extraneous matter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295" w:rsidP="005F41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0D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9EC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1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10C"/>
    <w:pPr>
      <w:spacing w:before="360" w:after="60"/>
      <w:outlineLvl w:val="0"/>
    </w:pPr>
    <w:rPr>
      <w:sz w:val="32"/>
    </w:rPr>
  </w:style>
  <w:style w:type="paragraph" w:styleId="Heading2">
    <w:name w:val="heading 2"/>
    <w:basedOn w:val="HeadingBase"/>
    <w:next w:val="BodyText"/>
    <w:link w:val="Heading2Char"/>
    <w:qFormat/>
    <w:rsid w:val="005F410C"/>
    <w:pPr>
      <w:keepLines/>
      <w:spacing w:before="240" w:after="120"/>
      <w:outlineLvl w:val="1"/>
    </w:pPr>
    <w:rPr>
      <w:sz w:val="28"/>
      <w:szCs w:val="40"/>
    </w:rPr>
  </w:style>
  <w:style w:type="paragraph" w:styleId="Heading3">
    <w:name w:val="heading 3"/>
    <w:basedOn w:val="HeadingBase"/>
    <w:next w:val="BodyText"/>
    <w:link w:val="Heading3Char"/>
    <w:qFormat/>
    <w:rsid w:val="005F410C"/>
    <w:pPr>
      <w:spacing w:before="180" w:after="120"/>
      <w:outlineLvl w:val="2"/>
    </w:pPr>
    <w:rPr>
      <w:spacing w:val="-10"/>
      <w:kern w:val="32"/>
    </w:rPr>
  </w:style>
  <w:style w:type="paragraph" w:styleId="Heading4">
    <w:name w:val="heading 4"/>
    <w:basedOn w:val="HeadingBase"/>
    <w:next w:val="BodyText"/>
    <w:link w:val="Heading4Char"/>
    <w:qFormat/>
    <w:rsid w:val="005F410C"/>
    <w:pPr>
      <w:spacing w:before="160" w:after="120"/>
      <w:outlineLvl w:val="3"/>
    </w:pPr>
    <w:rPr>
      <w:sz w:val="22"/>
    </w:rPr>
  </w:style>
  <w:style w:type="paragraph" w:styleId="Heading5">
    <w:name w:val="heading 5"/>
    <w:basedOn w:val="HeadingBase"/>
    <w:next w:val="Normal"/>
    <w:link w:val="Heading5Char"/>
    <w:qFormat/>
    <w:rsid w:val="005F410C"/>
    <w:pPr>
      <w:spacing w:before="80"/>
      <w:outlineLvl w:val="4"/>
    </w:pPr>
    <w:rPr>
      <w:color w:val="918585"/>
      <w:sz w:val="20"/>
    </w:rPr>
  </w:style>
  <w:style w:type="paragraph" w:styleId="Heading6">
    <w:name w:val="heading 6"/>
    <w:basedOn w:val="HeadingBase"/>
    <w:next w:val="Normal"/>
    <w:link w:val="Heading6Char"/>
    <w:qFormat/>
    <w:rsid w:val="005F410C"/>
    <w:pPr>
      <w:spacing w:before="60"/>
      <w:outlineLvl w:val="5"/>
    </w:pPr>
    <w:rPr>
      <w:color w:val="918585"/>
      <w:sz w:val="20"/>
    </w:rPr>
  </w:style>
  <w:style w:type="paragraph" w:styleId="Heading7">
    <w:name w:val="heading 7"/>
    <w:basedOn w:val="Normal"/>
    <w:next w:val="Normal"/>
    <w:link w:val="Heading7Char"/>
    <w:qFormat/>
    <w:rsid w:val="005F410C"/>
    <w:pPr>
      <w:ind w:left="720"/>
      <w:outlineLvl w:val="6"/>
    </w:pPr>
    <w:rPr>
      <w:i/>
    </w:rPr>
  </w:style>
  <w:style w:type="paragraph" w:styleId="Heading8">
    <w:name w:val="heading 8"/>
    <w:basedOn w:val="Normal"/>
    <w:next w:val="Normal"/>
    <w:link w:val="Heading8Char"/>
    <w:qFormat/>
    <w:rsid w:val="005F410C"/>
    <w:pPr>
      <w:ind w:left="720"/>
      <w:outlineLvl w:val="7"/>
    </w:pPr>
    <w:rPr>
      <w:i/>
    </w:rPr>
  </w:style>
  <w:style w:type="paragraph" w:styleId="Heading9">
    <w:name w:val="heading 9"/>
    <w:basedOn w:val="Normal"/>
    <w:next w:val="Normal"/>
    <w:link w:val="Heading9Char"/>
    <w:qFormat/>
    <w:rsid w:val="005F410C"/>
    <w:pPr>
      <w:ind w:left="720"/>
      <w:outlineLvl w:val="8"/>
    </w:pPr>
    <w:rPr>
      <w:i/>
    </w:rPr>
  </w:style>
  <w:style w:type="character" w:default="1" w:styleId="DefaultParagraphFont">
    <w:name w:val="Default Paragraph Font"/>
    <w:uiPriority w:val="1"/>
    <w:unhideWhenUsed/>
    <w:rsid w:val="005F4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10C"/>
  </w:style>
  <w:style w:type="character" w:customStyle="1" w:styleId="Heading1Char">
    <w:name w:val="Heading 1 Char"/>
    <w:basedOn w:val="DefaultParagraphFont"/>
    <w:link w:val="Heading1"/>
    <w:rsid w:val="005F410C"/>
    <w:rPr>
      <w:rFonts w:ascii="Times New Roman" w:eastAsia="Times New Roman" w:hAnsi="Times New Roman" w:cs="Times New Roman"/>
      <w:b/>
      <w:sz w:val="32"/>
      <w:szCs w:val="20"/>
      <w:lang w:eastAsia="en-US"/>
    </w:rPr>
  </w:style>
  <w:style w:type="paragraph" w:styleId="BodyText">
    <w:name w:val="Body Text"/>
    <w:basedOn w:val="Normal"/>
    <w:link w:val="BodyTextChar"/>
    <w:rsid w:val="005F4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10C"/>
    <w:rPr>
      <w:rFonts w:ascii="Times New Roman" w:eastAsia="Times New Roman" w:hAnsi="Times New Roman" w:cs="Times New Roman"/>
      <w:sz w:val="24"/>
      <w:lang w:val="en-US" w:eastAsia="en-US"/>
    </w:rPr>
  </w:style>
  <w:style w:type="paragraph" w:styleId="Footer">
    <w:name w:val="footer"/>
    <w:basedOn w:val="Normal"/>
    <w:link w:val="FooterChar"/>
    <w:rsid w:val="005F4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10C"/>
    <w:rPr>
      <w:rFonts w:ascii="Times New Roman" w:eastAsia="Times New Roman" w:hAnsi="Times New Roman" w:cs="Times New Roman"/>
      <w:sz w:val="16"/>
      <w:lang w:val="en-US" w:eastAsia="en-US"/>
    </w:rPr>
  </w:style>
  <w:style w:type="paragraph" w:styleId="List">
    <w:name w:val="List"/>
    <w:basedOn w:val="BodyText"/>
    <w:next w:val="BodyText"/>
    <w:rsid w:val="005F410C"/>
    <w:pPr>
      <w:tabs>
        <w:tab w:val="left" w:pos="340"/>
      </w:tabs>
      <w:spacing w:before="60" w:after="60"/>
      <w:ind w:left="340" w:hanging="340"/>
    </w:pPr>
  </w:style>
  <w:style w:type="paragraph" w:styleId="ListBullet">
    <w:name w:val="List Bullet"/>
    <w:basedOn w:val="List"/>
    <w:rsid w:val="005F410C"/>
    <w:pPr>
      <w:numPr>
        <w:numId w:val="12"/>
      </w:numPr>
      <w:tabs>
        <w:tab w:val="clear" w:pos="340"/>
      </w:tabs>
      <w:spacing w:before="40" w:after="40"/>
    </w:pPr>
  </w:style>
  <w:style w:type="character" w:customStyle="1" w:styleId="SpecialBold">
    <w:name w:val="Special Bold"/>
    <w:basedOn w:val="DefaultParagraphFont"/>
    <w:rsid w:val="005F410C"/>
    <w:rPr>
      <w:b/>
      <w:spacing w:val="0"/>
    </w:rPr>
  </w:style>
  <w:style w:type="paragraph" w:styleId="Header">
    <w:name w:val="header"/>
    <w:basedOn w:val="Normal"/>
    <w:link w:val="HeaderChar"/>
    <w:rsid w:val="005F4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1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410C"/>
    <w:rPr>
      <w:i/>
    </w:rPr>
  </w:style>
  <w:style w:type="paragraph" w:customStyle="1" w:styleId="SuperHeading">
    <w:name w:val="SuperHeading"/>
    <w:basedOn w:val="Normal"/>
    <w:rsid w:val="005F410C"/>
    <w:pPr>
      <w:spacing w:before="240" w:after="120"/>
      <w:outlineLvl w:val="0"/>
    </w:pPr>
    <w:rPr>
      <w:rFonts w:ascii="Times New Roman" w:hAnsi="Times New Roman"/>
      <w:b/>
      <w:sz w:val="28"/>
    </w:rPr>
  </w:style>
  <w:style w:type="paragraph" w:customStyle="1" w:styleId="TableHeading">
    <w:name w:val="Table Heading"/>
    <w:basedOn w:val="HeadingBase"/>
    <w:rsid w:val="005F410C"/>
    <w:pPr>
      <w:keepLines/>
      <w:pBdr>
        <w:bottom w:val="single" w:sz="6" w:space="1" w:color="918585"/>
      </w:pBdr>
      <w:spacing w:before="240"/>
    </w:pPr>
  </w:style>
  <w:style w:type="paragraph" w:customStyle="1" w:styleId="AllowPageBreak">
    <w:name w:val="AllowPageBreak"/>
    <w:rsid w:val="005F41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1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1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10C"/>
    <w:rPr>
      <w:rFonts w:ascii="Courier New" w:eastAsia="Times New Roman" w:hAnsi="Courier New" w:cs="Times New Roman"/>
      <w:i/>
      <w:szCs w:val="20"/>
      <w:lang w:val="en-US" w:eastAsia="en-US"/>
    </w:rPr>
  </w:style>
  <w:style w:type="paragraph" w:customStyle="1" w:styleId="HeadingBase">
    <w:name w:val="Heading Base"/>
    <w:rsid w:val="005F4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10C"/>
    <w:pPr>
      <w:tabs>
        <w:tab w:val="right" w:leader="dot" w:pos="9072"/>
      </w:tabs>
      <w:ind w:left="567"/>
    </w:pPr>
    <w:rPr>
      <w:szCs w:val="22"/>
    </w:rPr>
  </w:style>
  <w:style w:type="paragraph" w:customStyle="1" w:styleId="TOCBase">
    <w:name w:val="TOC Base"/>
    <w:rsid w:val="005F4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10C"/>
    <w:pPr>
      <w:tabs>
        <w:tab w:val="right" w:leader="dot" w:pos="9072"/>
      </w:tabs>
      <w:spacing w:before="40" w:after="40"/>
      <w:ind w:left="284"/>
    </w:pPr>
    <w:rPr>
      <w:rFonts w:ascii="Times New Roman" w:hAnsi="Times New Roman"/>
    </w:rPr>
  </w:style>
  <w:style w:type="paragraph" w:styleId="TOC1">
    <w:name w:val="toc 1"/>
    <w:basedOn w:val="TOCBase"/>
    <w:next w:val="Normal"/>
    <w:rsid w:val="005F4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10C"/>
    <w:pPr>
      <w:spacing w:before="5040"/>
      <w:jc w:val="center"/>
    </w:pPr>
    <w:rPr>
      <w:sz w:val="48"/>
      <w:szCs w:val="72"/>
      <w:lang w:val="en-US"/>
    </w:rPr>
  </w:style>
  <w:style w:type="character" w:customStyle="1" w:styleId="TitleChar">
    <w:name w:val="Title Char"/>
    <w:basedOn w:val="DefaultParagraphFont"/>
    <w:link w:val="Title"/>
    <w:rsid w:val="005F4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10C"/>
    <w:pPr>
      <w:tabs>
        <w:tab w:val="left" w:pos="3600"/>
        <w:tab w:val="left" w:pos="3958"/>
      </w:tabs>
    </w:pPr>
  </w:style>
  <w:style w:type="paragraph" w:customStyle="1" w:styleId="Note">
    <w:name w:val="Note"/>
    <w:basedOn w:val="BodyText"/>
    <w:rsid w:val="005F4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10C"/>
    <w:pPr>
      <w:framePr w:wrap="auto" w:hAnchor="text" w:y="6049"/>
    </w:pPr>
    <w:rPr>
      <w:color w:val="000000"/>
      <w:sz w:val="40"/>
    </w:rPr>
  </w:style>
  <w:style w:type="paragraph" w:customStyle="1" w:styleId="TOCTitle">
    <w:name w:val="TOCTitle"/>
    <w:basedOn w:val="Heading1"/>
    <w:rsid w:val="005F410C"/>
    <w:pPr>
      <w:spacing w:after="240"/>
      <w:jc w:val="center"/>
      <w:outlineLvl w:val="9"/>
    </w:pPr>
    <w:rPr>
      <w:caps/>
    </w:rPr>
  </w:style>
  <w:style w:type="paragraph" w:customStyle="1" w:styleId="Version">
    <w:name w:val="Version"/>
    <w:rsid w:val="005F4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10C"/>
    <w:pPr>
      <w:numPr>
        <w:numId w:val="13"/>
      </w:numPr>
      <w:tabs>
        <w:tab w:val="clear" w:pos="680"/>
      </w:tabs>
    </w:pPr>
  </w:style>
  <w:style w:type="paragraph" w:styleId="Index1">
    <w:name w:val="index 1"/>
    <w:basedOn w:val="Normal"/>
    <w:next w:val="Normal"/>
    <w:semiHidden/>
    <w:rsid w:val="005F410C"/>
    <w:pPr>
      <w:keepNext w:val="0"/>
      <w:tabs>
        <w:tab w:val="right" w:pos="4176"/>
      </w:tabs>
      <w:ind w:left="198" w:hanging="198"/>
    </w:pPr>
    <w:rPr>
      <w:rFonts w:ascii="Garamond" w:hAnsi="Garamond"/>
    </w:rPr>
  </w:style>
  <w:style w:type="paragraph" w:styleId="IndexHeading">
    <w:name w:val="index heading"/>
    <w:basedOn w:val="Normal"/>
    <w:next w:val="Index1"/>
    <w:semiHidden/>
    <w:rsid w:val="005F410C"/>
    <w:pPr>
      <w:spacing w:before="120" w:after="120"/>
    </w:pPr>
    <w:rPr>
      <w:rFonts w:ascii="Arial" w:hAnsi="Arial"/>
      <w:b/>
      <w:color w:val="918585"/>
      <w:sz w:val="24"/>
    </w:rPr>
  </w:style>
  <w:style w:type="paragraph" w:customStyle="1" w:styleId="Chapter">
    <w:name w:val="Chapter"/>
    <w:basedOn w:val="Normal"/>
    <w:rsid w:val="005F410C"/>
    <w:pPr>
      <w:spacing w:before="240"/>
    </w:pPr>
    <w:rPr>
      <w:rFonts w:ascii="Times New Roman" w:hAnsi="Times New Roman"/>
      <w:smallCaps/>
      <w:spacing w:val="80"/>
      <w:sz w:val="28"/>
    </w:rPr>
  </w:style>
  <w:style w:type="paragraph" w:customStyle="1" w:styleId="InChapter">
    <w:name w:val="InChapter"/>
    <w:basedOn w:val="Heading3"/>
    <w:rsid w:val="005F410C"/>
    <w:pPr>
      <w:spacing w:after="240"/>
      <w:outlineLvl w:val="9"/>
    </w:pPr>
    <w:rPr>
      <w:noProof/>
    </w:rPr>
  </w:style>
  <w:style w:type="paragraph" w:styleId="Index2">
    <w:name w:val="index 2"/>
    <w:basedOn w:val="Normal"/>
    <w:next w:val="Normal"/>
    <w:semiHidden/>
    <w:rsid w:val="005F410C"/>
    <w:pPr>
      <w:tabs>
        <w:tab w:val="right" w:pos="4176"/>
      </w:tabs>
      <w:ind w:left="568" w:hanging="284"/>
    </w:pPr>
    <w:rPr>
      <w:rFonts w:ascii="Garamond" w:hAnsi="Garamond"/>
    </w:rPr>
  </w:style>
  <w:style w:type="paragraph" w:customStyle="1" w:styleId="Byline">
    <w:name w:val="Byline"/>
    <w:rsid w:val="005F4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10C"/>
    <w:pPr>
      <w:tabs>
        <w:tab w:val="clear" w:pos="3600"/>
        <w:tab w:val="clear" w:pos="3958"/>
      </w:tabs>
      <w:jc w:val="right"/>
    </w:pPr>
  </w:style>
  <w:style w:type="paragraph" w:styleId="Caption">
    <w:name w:val="caption"/>
    <w:basedOn w:val="BodyText"/>
    <w:next w:val="Normal"/>
    <w:qFormat/>
    <w:rsid w:val="005F410C"/>
    <w:pPr>
      <w:framePr w:w="2268" w:hSpace="181" w:vSpace="181" w:wrap="around" w:vAnchor="text" w:hAnchor="page" w:x="1135" w:y="285" w:anchorLock="1"/>
    </w:pPr>
    <w:rPr>
      <w:i/>
    </w:rPr>
  </w:style>
  <w:style w:type="paragraph" w:customStyle="1" w:styleId="MiniTOCTitle">
    <w:name w:val="MiniTOCTitle"/>
    <w:basedOn w:val="Heading4"/>
    <w:rsid w:val="005F410C"/>
    <w:pPr>
      <w:spacing w:before="240"/>
      <w:outlineLvl w:val="9"/>
    </w:pPr>
    <w:rPr>
      <w:noProof/>
      <w:sz w:val="24"/>
    </w:rPr>
  </w:style>
  <w:style w:type="paragraph" w:customStyle="1" w:styleId="MiniTOCItem">
    <w:name w:val="MiniTOCItem"/>
    <w:basedOn w:val="ListBullet"/>
    <w:rsid w:val="005F410C"/>
    <w:pPr>
      <w:numPr>
        <w:numId w:val="0"/>
      </w:numPr>
      <w:tabs>
        <w:tab w:val="right" w:leader="dot" w:pos="6521"/>
      </w:tabs>
      <w:spacing w:before="0" w:after="0"/>
    </w:pPr>
  </w:style>
  <w:style w:type="paragraph" w:customStyle="1" w:styleId="TOFTitle">
    <w:name w:val="TOFTitle"/>
    <w:basedOn w:val="TOCTitle"/>
    <w:rsid w:val="005F410C"/>
  </w:style>
  <w:style w:type="paragraph" w:styleId="TableofFigures">
    <w:name w:val="table of figures"/>
    <w:basedOn w:val="Normal"/>
    <w:next w:val="Normal"/>
    <w:semiHidden/>
    <w:rsid w:val="005F410C"/>
    <w:pPr>
      <w:tabs>
        <w:tab w:val="right" w:leader="dot" w:pos="9072"/>
      </w:tabs>
      <w:ind w:left="970" w:hanging="403"/>
    </w:pPr>
    <w:rPr>
      <w:rFonts w:ascii="Times New Roman" w:hAnsi="Times New Roman"/>
      <w:b/>
    </w:rPr>
  </w:style>
  <w:style w:type="paragraph" w:styleId="ListNumber">
    <w:name w:val="List Number"/>
    <w:basedOn w:val="List"/>
    <w:rsid w:val="005F410C"/>
    <w:pPr>
      <w:numPr>
        <w:numId w:val="10"/>
      </w:numPr>
    </w:pPr>
  </w:style>
  <w:style w:type="character" w:customStyle="1" w:styleId="WingdingSymbols">
    <w:name w:val="Wingding Symbols"/>
    <w:rsid w:val="005F410C"/>
    <w:rPr>
      <w:rFonts w:ascii="Wingdings" w:hAnsi="Wingdings"/>
    </w:rPr>
  </w:style>
  <w:style w:type="character" w:customStyle="1" w:styleId="HotSpot">
    <w:name w:val="HotSpot"/>
    <w:rsid w:val="005F410C"/>
    <w:rPr>
      <w:color w:val="0033CC"/>
      <w:u w:val="none"/>
    </w:rPr>
  </w:style>
  <w:style w:type="paragraph" w:customStyle="1" w:styleId="BodyTextRight">
    <w:name w:val="Body Text Right"/>
    <w:basedOn w:val="BodyText"/>
    <w:rsid w:val="005F410C"/>
    <w:pPr>
      <w:spacing w:before="0" w:after="0"/>
      <w:jc w:val="right"/>
    </w:pPr>
  </w:style>
  <w:style w:type="paragraph" w:styleId="Index3">
    <w:name w:val="index 3"/>
    <w:basedOn w:val="ListNumber2"/>
    <w:next w:val="Normal"/>
    <w:semiHidden/>
    <w:rsid w:val="005F410C"/>
    <w:pPr>
      <w:numPr>
        <w:numId w:val="0"/>
      </w:numPr>
      <w:tabs>
        <w:tab w:val="right" w:leader="dot" w:pos="4176"/>
      </w:tabs>
    </w:pPr>
  </w:style>
  <w:style w:type="paragraph" w:styleId="ListNumber2">
    <w:name w:val="List Number 2"/>
    <w:basedOn w:val="List2"/>
    <w:rsid w:val="005F410C"/>
    <w:pPr>
      <w:numPr>
        <w:numId w:val="9"/>
      </w:numPr>
      <w:tabs>
        <w:tab w:val="clear" w:pos="1060"/>
      </w:tabs>
    </w:pPr>
  </w:style>
  <w:style w:type="paragraph" w:customStyle="1" w:styleId="MarginNote">
    <w:name w:val="Margin Note"/>
    <w:basedOn w:val="BodyText"/>
    <w:rsid w:val="005F4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1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10C"/>
    <w:rPr>
      <w:sz w:val="32"/>
    </w:rPr>
  </w:style>
  <w:style w:type="paragraph" w:customStyle="1" w:styleId="HeadingProcedure">
    <w:name w:val="Heading Procedure"/>
    <w:basedOn w:val="HeadingBase"/>
    <w:next w:val="Normal"/>
    <w:rsid w:val="005F410C"/>
    <w:pPr>
      <w:tabs>
        <w:tab w:val="left" w:pos="0"/>
      </w:tabs>
      <w:spacing w:before="120" w:after="60"/>
    </w:pPr>
    <w:rPr>
      <w:i/>
      <w:color w:val="918585"/>
      <w:sz w:val="22"/>
    </w:rPr>
  </w:style>
  <w:style w:type="paragraph" w:customStyle="1" w:styleId="TableBodyText">
    <w:name w:val="Table Body Text"/>
    <w:basedOn w:val="BodyText"/>
    <w:rsid w:val="005F410C"/>
    <w:pPr>
      <w:spacing w:before="60" w:after="60"/>
    </w:pPr>
  </w:style>
  <w:style w:type="paragraph" w:styleId="ListContinue">
    <w:name w:val="List Continue"/>
    <w:basedOn w:val="List"/>
    <w:rsid w:val="005F410C"/>
    <w:pPr>
      <w:ind w:firstLine="0"/>
    </w:pPr>
  </w:style>
  <w:style w:type="paragraph" w:customStyle="1" w:styleId="ListNote">
    <w:name w:val="List Note"/>
    <w:basedOn w:val="List"/>
    <w:rsid w:val="005F410C"/>
    <w:pPr>
      <w:pBdr>
        <w:top w:val="single" w:sz="6" w:space="2" w:color="918585"/>
        <w:bottom w:val="single" w:sz="6" w:space="2" w:color="918585"/>
      </w:pBdr>
      <w:tabs>
        <w:tab w:val="left" w:pos="1021"/>
      </w:tabs>
      <w:ind w:firstLine="0"/>
    </w:pPr>
  </w:style>
  <w:style w:type="paragraph" w:customStyle="1" w:styleId="Warning">
    <w:name w:val="Warning"/>
    <w:basedOn w:val="BodyText"/>
    <w:rsid w:val="005F410C"/>
    <w:pPr>
      <w:shd w:val="clear" w:color="auto" w:fill="D9D9D9"/>
      <w:tabs>
        <w:tab w:val="left" w:pos="992"/>
      </w:tabs>
      <w:ind w:left="119" w:right="119"/>
    </w:pPr>
    <w:rPr>
      <w:sz w:val="20"/>
    </w:rPr>
  </w:style>
  <w:style w:type="paragraph" w:customStyle="1" w:styleId="MarginIcons">
    <w:name w:val="Margin Icons"/>
    <w:basedOn w:val="BodyText"/>
    <w:rsid w:val="005F4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10C"/>
    <w:rPr>
      <w:rFonts w:ascii="Courier New" w:hAnsi="Courier New"/>
    </w:rPr>
  </w:style>
  <w:style w:type="paragraph" w:customStyle="1" w:styleId="NoteBullet">
    <w:name w:val="Note Bullet"/>
    <w:basedOn w:val="Note"/>
    <w:rsid w:val="005F410C"/>
    <w:pPr>
      <w:tabs>
        <w:tab w:val="clear" w:pos="680"/>
      </w:tabs>
      <w:spacing w:before="60" w:after="60"/>
    </w:pPr>
  </w:style>
  <w:style w:type="paragraph" w:customStyle="1" w:styleId="SubHeading2">
    <w:name w:val="SubHeading2"/>
    <w:basedOn w:val="HeadingBase"/>
    <w:rsid w:val="005F410C"/>
    <w:pPr>
      <w:spacing w:before="240" w:after="60"/>
    </w:pPr>
    <w:rPr>
      <w:sz w:val="20"/>
    </w:rPr>
  </w:style>
  <w:style w:type="paragraph" w:customStyle="1" w:styleId="SubHeading1">
    <w:name w:val="SubHeading1"/>
    <w:basedOn w:val="HeadingBase"/>
    <w:rsid w:val="005F410C"/>
    <w:pPr>
      <w:spacing w:before="240" w:after="60"/>
    </w:pPr>
    <w:rPr>
      <w:color w:val="918585"/>
      <w:sz w:val="22"/>
    </w:rPr>
  </w:style>
  <w:style w:type="paragraph" w:customStyle="1" w:styleId="SideHeading">
    <w:name w:val="Side Heading"/>
    <w:basedOn w:val="HeadingBase"/>
    <w:rsid w:val="005F4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10C"/>
    <w:pPr>
      <w:tabs>
        <w:tab w:val="num" w:pos="360"/>
      </w:tabs>
    </w:pPr>
  </w:style>
  <w:style w:type="paragraph" w:styleId="PlainText">
    <w:name w:val="Plain Text"/>
    <w:basedOn w:val="Normal"/>
    <w:link w:val="PlainTextChar"/>
    <w:rsid w:val="005F410C"/>
    <w:rPr>
      <w:sz w:val="20"/>
    </w:rPr>
  </w:style>
  <w:style w:type="character" w:customStyle="1" w:styleId="PlainTextChar">
    <w:name w:val="Plain Text Char"/>
    <w:basedOn w:val="DefaultParagraphFont"/>
    <w:link w:val="PlainText"/>
    <w:rsid w:val="005F41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10C"/>
    <w:rPr>
      <w:b/>
      <w:smallCaps/>
    </w:rPr>
  </w:style>
  <w:style w:type="paragraph" w:customStyle="1" w:styleId="TableListNumber">
    <w:name w:val="Table List Number"/>
    <w:basedOn w:val="ListNumber"/>
    <w:rsid w:val="005F410C"/>
    <w:pPr>
      <w:numPr>
        <w:numId w:val="0"/>
      </w:numPr>
    </w:pPr>
  </w:style>
  <w:style w:type="paragraph" w:styleId="TOC4">
    <w:name w:val="toc 4"/>
    <w:basedOn w:val="TOCBase"/>
    <w:next w:val="Normal"/>
    <w:semiHidden/>
    <w:rsid w:val="005F410C"/>
    <w:pPr>
      <w:tabs>
        <w:tab w:val="right" w:leader="dot" w:pos="9071"/>
      </w:tabs>
      <w:ind w:left="1701"/>
    </w:pPr>
  </w:style>
  <w:style w:type="paragraph" w:customStyle="1" w:styleId="ListAlpha">
    <w:name w:val="List Alpha"/>
    <w:basedOn w:val="List"/>
    <w:rsid w:val="005F410C"/>
    <w:pPr>
      <w:numPr>
        <w:numId w:val="8"/>
      </w:numPr>
    </w:pPr>
  </w:style>
  <w:style w:type="paragraph" w:customStyle="1" w:styleId="ListAlpha2">
    <w:name w:val="List Alpha 2"/>
    <w:basedOn w:val="List2"/>
    <w:rsid w:val="005F410C"/>
    <w:pPr>
      <w:numPr>
        <w:numId w:val="7"/>
      </w:numPr>
    </w:pPr>
  </w:style>
  <w:style w:type="paragraph" w:styleId="List2">
    <w:name w:val="List 2"/>
    <w:basedOn w:val="BodyText"/>
    <w:rsid w:val="005F410C"/>
    <w:pPr>
      <w:tabs>
        <w:tab w:val="left" w:pos="680"/>
      </w:tabs>
      <w:spacing w:before="60" w:after="60"/>
      <w:ind w:left="680" w:hanging="340"/>
    </w:pPr>
  </w:style>
  <w:style w:type="paragraph" w:styleId="List3">
    <w:name w:val="List 3"/>
    <w:basedOn w:val="BodyText"/>
    <w:rsid w:val="005F410C"/>
    <w:pPr>
      <w:tabs>
        <w:tab w:val="left" w:pos="1021"/>
      </w:tabs>
      <w:spacing w:before="60" w:after="60"/>
      <w:ind w:left="1020" w:hanging="340"/>
    </w:pPr>
  </w:style>
  <w:style w:type="paragraph" w:styleId="List4">
    <w:name w:val="List 4"/>
    <w:basedOn w:val="BodyText"/>
    <w:rsid w:val="005F410C"/>
    <w:pPr>
      <w:tabs>
        <w:tab w:val="left" w:pos="1361"/>
      </w:tabs>
      <w:spacing w:before="60" w:after="60"/>
      <w:ind w:left="1361" w:hanging="340"/>
    </w:pPr>
  </w:style>
  <w:style w:type="paragraph" w:styleId="List5">
    <w:name w:val="List 5"/>
    <w:basedOn w:val="BodyText"/>
    <w:rsid w:val="005F410C"/>
    <w:pPr>
      <w:tabs>
        <w:tab w:val="left" w:pos="1701"/>
      </w:tabs>
      <w:spacing w:before="60" w:after="60"/>
      <w:ind w:left="1701" w:hanging="340"/>
    </w:pPr>
  </w:style>
  <w:style w:type="paragraph" w:styleId="ListBullet3">
    <w:name w:val="List Bullet 3"/>
    <w:basedOn w:val="List3"/>
    <w:rsid w:val="005F410C"/>
    <w:pPr>
      <w:numPr>
        <w:numId w:val="14"/>
      </w:numPr>
      <w:tabs>
        <w:tab w:val="clear" w:pos="1021"/>
      </w:tabs>
      <w:ind w:left="1037" w:hanging="357"/>
    </w:pPr>
  </w:style>
  <w:style w:type="paragraph" w:styleId="ListBullet4">
    <w:name w:val="List Bullet 4"/>
    <w:basedOn w:val="List4"/>
    <w:rsid w:val="005F410C"/>
    <w:pPr>
      <w:numPr>
        <w:numId w:val="2"/>
      </w:numPr>
    </w:pPr>
  </w:style>
  <w:style w:type="paragraph" w:styleId="ListBullet5">
    <w:name w:val="List Bullet 5"/>
    <w:basedOn w:val="List5"/>
    <w:rsid w:val="005F410C"/>
    <w:pPr>
      <w:numPr>
        <w:numId w:val="3"/>
      </w:numPr>
    </w:pPr>
  </w:style>
  <w:style w:type="paragraph" w:styleId="ListContinue2">
    <w:name w:val="List Continue 2"/>
    <w:basedOn w:val="List2"/>
    <w:rsid w:val="005F410C"/>
    <w:pPr>
      <w:ind w:firstLine="0"/>
    </w:pPr>
  </w:style>
  <w:style w:type="paragraph" w:styleId="ListContinue3">
    <w:name w:val="List Continue 3"/>
    <w:basedOn w:val="List3"/>
    <w:rsid w:val="005F410C"/>
    <w:pPr>
      <w:ind w:left="1021" w:firstLine="0"/>
    </w:pPr>
  </w:style>
  <w:style w:type="paragraph" w:styleId="ListContinue4">
    <w:name w:val="List Continue 4"/>
    <w:basedOn w:val="List4"/>
    <w:rsid w:val="005F410C"/>
    <w:pPr>
      <w:ind w:firstLine="0"/>
    </w:pPr>
  </w:style>
  <w:style w:type="paragraph" w:styleId="ListContinue5">
    <w:name w:val="List Continue 5"/>
    <w:basedOn w:val="List5"/>
    <w:rsid w:val="005F410C"/>
    <w:pPr>
      <w:ind w:firstLine="0"/>
    </w:pPr>
  </w:style>
  <w:style w:type="paragraph" w:styleId="ListNumber3">
    <w:name w:val="List Number 3"/>
    <w:basedOn w:val="List3"/>
    <w:rsid w:val="005F410C"/>
    <w:pPr>
      <w:numPr>
        <w:numId w:val="4"/>
      </w:numPr>
    </w:pPr>
  </w:style>
  <w:style w:type="paragraph" w:styleId="ListNumber4">
    <w:name w:val="List Number 4"/>
    <w:basedOn w:val="List4"/>
    <w:rsid w:val="005F410C"/>
    <w:pPr>
      <w:numPr>
        <w:numId w:val="5"/>
      </w:numPr>
    </w:pPr>
  </w:style>
  <w:style w:type="paragraph" w:styleId="ListNumber5">
    <w:name w:val="List Number 5"/>
    <w:basedOn w:val="List5"/>
    <w:rsid w:val="005F410C"/>
    <w:pPr>
      <w:numPr>
        <w:numId w:val="6"/>
      </w:numPr>
    </w:pPr>
  </w:style>
  <w:style w:type="paragraph" w:styleId="BlockText">
    <w:name w:val="Block Text"/>
    <w:basedOn w:val="Normal"/>
    <w:rsid w:val="005F410C"/>
    <w:pPr>
      <w:spacing w:after="120"/>
      <w:ind w:left="1440" w:right="1440"/>
    </w:pPr>
  </w:style>
  <w:style w:type="character" w:customStyle="1" w:styleId="Subscript">
    <w:name w:val="Subscript"/>
    <w:basedOn w:val="DefaultParagraphFont"/>
    <w:rsid w:val="005F410C"/>
    <w:rPr>
      <w:sz w:val="16"/>
      <w:vertAlign w:val="subscript"/>
    </w:rPr>
  </w:style>
  <w:style w:type="character" w:customStyle="1" w:styleId="Superscript">
    <w:name w:val="Superscript"/>
    <w:basedOn w:val="DefaultParagraphFont"/>
    <w:rsid w:val="005F410C"/>
    <w:rPr>
      <w:sz w:val="16"/>
      <w:vertAlign w:val="superscript"/>
    </w:rPr>
  </w:style>
  <w:style w:type="character" w:customStyle="1" w:styleId="Symbols">
    <w:name w:val="Symbols"/>
    <w:basedOn w:val="DefaultParagraphFont"/>
    <w:rsid w:val="005F410C"/>
    <w:rPr>
      <w:rFonts w:ascii="Symbol" w:hAnsi="Symbol"/>
    </w:rPr>
  </w:style>
  <w:style w:type="character" w:customStyle="1" w:styleId="MenuOptions">
    <w:name w:val="Menu Options"/>
    <w:basedOn w:val="DefaultParagraphFont"/>
    <w:rsid w:val="005F410C"/>
    <w:rPr>
      <w:rFonts w:ascii="Arial Narrow" w:hAnsi="Arial Narrow"/>
      <w:smallCaps/>
    </w:rPr>
  </w:style>
  <w:style w:type="character" w:customStyle="1" w:styleId="Buttons">
    <w:name w:val="Buttons"/>
    <w:basedOn w:val="DefaultParagraphFont"/>
    <w:rsid w:val="005F410C"/>
    <w:rPr>
      <w:b/>
    </w:rPr>
  </w:style>
  <w:style w:type="character" w:customStyle="1" w:styleId="Underlined">
    <w:name w:val="Underlined"/>
    <w:basedOn w:val="DefaultParagraphFont"/>
    <w:rsid w:val="005F410C"/>
    <w:rPr>
      <w:u w:val="single"/>
    </w:rPr>
  </w:style>
  <w:style w:type="paragraph" w:customStyle="1" w:styleId="TableBodyTextRight">
    <w:name w:val="Table Body Text Right"/>
    <w:basedOn w:val="TableBodyText"/>
    <w:rsid w:val="005F410C"/>
    <w:pPr>
      <w:widowControl w:val="0"/>
      <w:autoSpaceDE w:val="0"/>
      <w:autoSpaceDN w:val="0"/>
      <w:adjustRightInd w:val="0"/>
      <w:jc w:val="right"/>
    </w:pPr>
    <w:rPr>
      <w:rFonts w:cs="Arial"/>
      <w:szCs w:val="18"/>
    </w:rPr>
  </w:style>
  <w:style w:type="paragraph" w:customStyle="1" w:styleId="CopyrightText">
    <w:name w:val="Copyright Text"/>
    <w:basedOn w:val="BodyText"/>
    <w:rsid w:val="005F410C"/>
    <w:rPr>
      <w:sz w:val="18"/>
    </w:rPr>
  </w:style>
  <w:style w:type="paragraph" w:customStyle="1" w:styleId="BodySmallRight">
    <w:name w:val="Body Small Right"/>
    <w:basedOn w:val="BodyTextRight"/>
    <w:rsid w:val="005F410C"/>
    <w:rPr>
      <w:sz w:val="18"/>
      <w:szCs w:val="18"/>
    </w:rPr>
  </w:style>
  <w:style w:type="paragraph" w:customStyle="1" w:styleId="MarginEdition">
    <w:name w:val="Margin Edition"/>
    <w:basedOn w:val="MarginNote"/>
    <w:rsid w:val="005F410C"/>
    <w:pPr>
      <w:spacing w:before="0" w:after="0"/>
    </w:pPr>
    <w:rPr>
      <w:rFonts w:ascii="Times New Roman" w:hAnsi="Times New Roman"/>
      <w:color w:val="999999"/>
    </w:rPr>
  </w:style>
  <w:style w:type="paragraph" w:customStyle="1" w:styleId="Spacer">
    <w:name w:val="Spacer"/>
    <w:basedOn w:val="Normal"/>
    <w:rsid w:val="005F410C"/>
    <w:rPr>
      <w:sz w:val="2"/>
      <w:szCs w:val="2"/>
    </w:rPr>
  </w:style>
  <w:style w:type="character" w:customStyle="1" w:styleId="Small">
    <w:name w:val="Small"/>
    <w:basedOn w:val="DefaultParagraphFont"/>
    <w:rsid w:val="005F410C"/>
    <w:rPr>
      <w:sz w:val="16"/>
    </w:rPr>
  </w:style>
  <w:style w:type="paragraph" w:customStyle="1" w:styleId="WideTable">
    <w:name w:val="Wide Table"/>
    <w:basedOn w:val="Normal"/>
    <w:rsid w:val="005F410C"/>
    <w:pPr>
      <w:ind w:left="-1418"/>
    </w:pPr>
    <w:rPr>
      <w:sz w:val="2"/>
      <w:szCs w:val="2"/>
    </w:rPr>
  </w:style>
  <w:style w:type="character" w:styleId="PageNumber">
    <w:name w:val="page number"/>
    <w:basedOn w:val="DefaultParagraphFont"/>
    <w:rsid w:val="005F410C"/>
  </w:style>
  <w:style w:type="paragraph" w:styleId="Quote">
    <w:name w:val="Quote"/>
    <w:basedOn w:val="Heading1"/>
    <w:link w:val="QuoteChar"/>
    <w:qFormat/>
    <w:rsid w:val="005F410C"/>
    <w:rPr>
      <w:b w:val="0"/>
      <w:sz w:val="72"/>
      <w:szCs w:val="72"/>
      <w:lang w:val="en-NZ"/>
    </w:rPr>
  </w:style>
  <w:style w:type="character" w:customStyle="1" w:styleId="QuoteChar">
    <w:name w:val="Quote Char"/>
    <w:basedOn w:val="DefaultParagraphFont"/>
    <w:link w:val="Quote"/>
    <w:rsid w:val="005F4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10C"/>
    <w:pPr>
      <w:pageBreakBefore/>
    </w:pPr>
  </w:style>
  <w:style w:type="paragraph" w:customStyle="1" w:styleId="Border">
    <w:name w:val="Border"/>
    <w:basedOn w:val="Normal"/>
    <w:qFormat/>
    <w:rsid w:val="005F4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10C"/>
    <w:rPr>
      <w:b/>
      <w:bCs/>
      <w:i/>
      <w:iCs/>
      <w:color w:val="auto"/>
    </w:rPr>
  </w:style>
  <w:style w:type="paragraph" w:styleId="IntenseQuote">
    <w:name w:val="Intense Quote"/>
    <w:basedOn w:val="Normal"/>
    <w:next w:val="Normal"/>
    <w:link w:val="IntenseQuoteChar"/>
    <w:uiPriority w:val="30"/>
    <w:qFormat/>
    <w:rsid w:val="005F4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1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10C"/>
    <w:rPr>
      <w:smallCaps/>
      <w:color w:val="auto"/>
      <w:u w:val="single"/>
    </w:rPr>
  </w:style>
  <w:style w:type="character" w:styleId="IntenseReference">
    <w:name w:val="Intense Reference"/>
    <w:basedOn w:val="DefaultParagraphFont"/>
    <w:uiPriority w:val="32"/>
    <w:qFormat/>
    <w:rsid w:val="005F410C"/>
    <w:rPr>
      <w:b/>
      <w:bCs/>
      <w:smallCaps/>
      <w:color w:val="auto"/>
      <w:spacing w:val="5"/>
      <w:u w:val="single"/>
    </w:rPr>
  </w:style>
  <w:style w:type="paragraph" w:customStyle="1" w:styleId="2ColumnHeading">
    <w:name w:val="2Column Heading"/>
    <w:basedOn w:val="BodyText"/>
    <w:qFormat/>
    <w:rsid w:val="005F410C"/>
    <w:pPr>
      <w:spacing w:after="60"/>
      <w:ind w:left="-2268"/>
    </w:pPr>
    <w:rPr>
      <w:b/>
    </w:rPr>
  </w:style>
  <w:style w:type="paragraph" w:customStyle="1" w:styleId="Heading1TOC">
    <w:name w:val="Heading1 TOC"/>
    <w:basedOn w:val="Normal"/>
    <w:qFormat/>
    <w:rsid w:val="005F410C"/>
    <w:pPr>
      <w:spacing w:before="240" w:after="120"/>
    </w:pPr>
    <w:rPr>
      <w:rFonts w:ascii="Times New Roman" w:hAnsi="Times New Roman"/>
      <w:b/>
      <w:sz w:val="32"/>
    </w:rPr>
  </w:style>
  <w:style w:type="paragraph" w:customStyle="1" w:styleId="Heading2TOC">
    <w:name w:val="Heading2 TOC"/>
    <w:basedOn w:val="Normal"/>
    <w:qFormat/>
    <w:rsid w:val="005F410C"/>
    <w:pPr>
      <w:spacing w:before="240" w:after="60"/>
    </w:pPr>
    <w:rPr>
      <w:rFonts w:ascii="Times New Roman" w:hAnsi="Times New Roman"/>
      <w:b/>
      <w:sz w:val="28"/>
    </w:rPr>
  </w:style>
  <w:style w:type="character" w:customStyle="1" w:styleId="Underline">
    <w:name w:val="Underline"/>
    <w:basedOn w:val="DefaultParagraphFont"/>
    <w:qFormat/>
    <w:rsid w:val="005F410C"/>
    <w:rPr>
      <w:u w:val="single"/>
    </w:rPr>
  </w:style>
  <w:style w:type="character" w:customStyle="1" w:styleId="BoldandItalics">
    <w:name w:val="Bold and Italics"/>
    <w:qFormat/>
    <w:rsid w:val="005F410C"/>
    <w:rPr>
      <w:b/>
      <w:i/>
      <w:u w:val="none"/>
    </w:rPr>
  </w:style>
  <w:style w:type="paragraph" w:styleId="BalloonText">
    <w:name w:val="Balloon Text"/>
    <w:basedOn w:val="Normal"/>
    <w:link w:val="BalloonTextChar"/>
    <w:rsid w:val="005F410C"/>
    <w:rPr>
      <w:rFonts w:ascii="Tahoma" w:hAnsi="Tahoma" w:cs="Tahoma"/>
      <w:sz w:val="16"/>
      <w:szCs w:val="16"/>
    </w:rPr>
  </w:style>
  <w:style w:type="character" w:customStyle="1" w:styleId="BalloonTextChar">
    <w:name w:val="Balloon Text Char"/>
    <w:basedOn w:val="DefaultParagraphFont"/>
    <w:link w:val="BalloonText"/>
    <w:rsid w:val="005F41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1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5188</Characters>
  <Application>Microsoft Office Word</Application>
  <DocSecurity>0</DocSecurity>
  <Lines>162</Lines>
  <Paragraphs>100</Paragraphs>
  <ScaleCrop>false</ScaleCrop>
  <Company>Author-it Software Corporation Ltd.</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FDFSUG104A Check a cane sample for extraneous matter</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2012-05-26T16:07:00Z</dcterms:created>
  <dcterms:modified xsi:type="dcterms:W3CDTF">2012-05-26T16:07:00Z</dcterms:modified>
</cp:coreProperties>
</file>